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14B47" w14:textId="77777777" w:rsidR="0098684F" w:rsidRDefault="0098684F">
      <w:bookmarkStart w:id="0" w:name="_GoBack"/>
      <w:bookmarkEnd w:id="0"/>
      <w:r w:rsidRPr="0098684F">
        <w:rPr>
          <w:noProof/>
          <w:lang w:val="en-US"/>
        </w:rPr>
        <w:drawing>
          <wp:anchor distT="0" distB="0" distL="114300" distR="114300" simplePos="0" relativeHeight="251662336" behindDoc="0" locked="0" layoutInCell="1" allowOverlap="1" wp14:anchorId="695E3D1D" wp14:editId="5F5B62CA">
            <wp:simplePos x="0" y="0"/>
            <wp:positionH relativeFrom="column">
              <wp:posOffset>-209550</wp:posOffset>
            </wp:positionH>
            <wp:positionV relativeFrom="paragraph">
              <wp:posOffset>12065</wp:posOffset>
            </wp:positionV>
            <wp:extent cx="2232248" cy="1037995"/>
            <wp:effectExtent l="0" t="0" r="0" b="0"/>
            <wp:wrapNone/>
            <wp:docPr id="108" name="Google Shape;108;p15"/>
            <wp:cNvGraphicFramePr/>
            <a:graphic xmlns:a="http://schemas.openxmlformats.org/drawingml/2006/main">
              <a:graphicData uri="http://schemas.openxmlformats.org/drawingml/2006/picture">
                <pic:pic xmlns:pic="http://schemas.openxmlformats.org/drawingml/2006/picture">
                  <pic:nvPicPr>
                    <pic:cNvPr id="108" name="Google Shape;108;p15"/>
                    <pic:cNvPicPr preferRelativeResize="0"/>
                  </pic:nvPicPr>
                  <pic:blipFill rotWithShape="1">
                    <a:blip r:embed="rId7">
                      <a:alphaModFix/>
                    </a:blip>
                    <a:srcRect/>
                    <a:stretch/>
                  </pic:blipFill>
                  <pic:spPr>
                    <a:xfrm>
                      <a:off x="0" y="0"/>
                      <a:ext cx="2232248" cy="1037995"/>
                    </a:xfrm>
                    <a:prstGeom prst="rect">
                      <a:avLst/>
                    </a:prstGeom>
                    <a:noFill/>
                    <a:ln>
                      <a:noFill/>
                    </a:ln>
                  </pic:spPr>
                </pic:pic>
              </a:graphicData>
            </a:graphic>
          </wp:anchor>
        </w:drawing>
      </w:r>
      <w:r w:rsidRPr="0098684F">
        <w:rPr>
          <w:noProof/>
          <w:lang w:val="en-US"/>
        </w:rPr>
        <w:drawing>
          <wp:anchor distT="0" distB="0" distL="114300" distR="114300" simplePos="0" relativeHeight="251659264" behindDoc="0" locked="0" layoutInCell="1" allowOverlap="1" wp14:anchorId="4FE9D6BE" wp14:editId="58E01E6C">
            <wp:simplePos x="0" y="0"/>
            <wp:positionH relativeFrom="column">
              <wp:posOffset>4473575</wp:posOffset>
            </wp:positionH>
            <wp:positionV relativeFrom="paragraph">
              <wp:posOffset>-736600</wp:posOffset>
            </wp:positionV>
            <wp:extent cx="2059940" cy="522605"/>
            <wp:effectExtent l="0" t="0" r="0" b="0"/>
            <wp:wrapNone/>
            <wp:docPr id="107" name="Google Shape;107;p15"/>
            <wp:cNvGraphicFramePr/>
            <a:graphic xmlns:a="http://schemas.openxmlformats.org/drawingml/2006/main">
              <a:graphicData uri="http://schemas.openxmlformats.org/drawingml/2006/picture">
                <pic:pic xmlns:pic="http://schemas.openxmlformats.org/drawingml/2006/picture">
                  <pic:nvPicPr>
                    <pic:cNvPr id="107" name="Google Shape;107;p15"/>
                    <pic:cNvPicPr preferRelativeResize="0"/>
                  </pic:nvPicPr>
                  <pic:blipFill rotWithShape="1">
                    <a:blip r:embed="rId8">
                      <a:alphaModFix/>
                    </a:blip>
                    <a:srcRect/>
                    <a:stretch/>
                  </pic:blipFill>
                  <pic:spPr>
                    <a:xfrm>
                      <a:off x="0" y="0"/>
                      <a:ext cx="2059940" cy="522605"/>
                    </a:xfrm>
                    <a:prstGeom prst="rect">
                      <a:avLst/>
                    </a:prstGeom>
                    <a:noFill/>
                    <a:ln>
                      <a:noFill/>
                    </a:ln>
                  </pic:spPr>
                </pic:pic>
              </a:graphicData>
            </a:graphic>
          </wp:anchor>
        </w:drawing>
      </w:r>
    </w:p>
    <w:p w14:paraId="0231A988" w14:textId="77777777" w:rsidR="0098684F" w:rsidRDefault="0098684F">
      <w:r>
        <w:rPr>
          <w:noProof/>
          <w:lang w:val="en-US"/>
        </w:rPr>
        <mc:AlternateContent>
          <mc:Choice Requires="wps">
            <w:drawing>
              <wp:anchor distT="0" distB="0" distL="114300" distR="114300" simplePos="0" relativeHeight="251661312" behindDoc="0" locked="0" layoutInCell="1" allowOverlap="1" wp14:anchorId="28FC088D" wp14:editId="67E0D19A">
                <wp:simplePos x="0" y="0"/>
                <wp:positionH relativeFrom="column">
                  <wp:posOffset>-920750</wp:posOffset>
                </wp:positionH>
                <wp:positionV relativeFrom="paragraph">
                  <wp:posOffset>266700</wp:posOffset>
                </wp:positionV>
                <wp:extent cx="7683500" cy="57150"/>
                <wp:effectExtent l="19050" t="19050" r="31750" b="19050"/>
                <wp:wrapNone/>
                <wp:docPr id="1" name="Straight Connector 1"/>
                <wp:cNvGraphicFramePr/>
                <a:graphic xmlns:a="http://schemas.openxmlformats.org/drawingml/2006/main">
                  <a:graphicData uri="http://schemas.microsoft.com/office/word/2010/wordprocessingShape">
                    <wps:wsp>
                      <wps:cNvCnPr/>
                      <wps:spPr>
                        <a:xfrm flipV="1">
                          <a:off x="0" y="0"/>
                          <a:ext cx="7683500" cy="57150"/>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4D536C"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pt,21pt" to="53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" strokecolor="#2f5496 [2404]" strokeweight="2.25pt">
                <v:stroke joinstyle="miter"/>
              </v:line>
            </w:pict>
          </mc:Fallback>
        </mc:AlternateContent>
      </w:r>
    </w:p>
    <w:p w14:paraId="46416580" w14:textId="77777777" w:rsidR="0098684F" w:rsidRDefault="0098684F"/>
    <w:p w14:paraId="55DFC7F4" w14:textId="77777777" w:rsidR="0098684F" w:rsidRDefault="0098684F"/>
    <w:p w14:paraId="0506AE11" w14:textId="77777777" w:rsidR="007E613D" w:rsidRDefault="001F49EA"/>
    <w:p w14:paraId="6C506E28" w14:textId="77777777" w:rsidR="0098684F" w:rsidRDefault="0098684F" w:rsidP="0098684F">
      <w:pPr>
        <w:ind w:left="-567"/>
        <w:rPr>
          <w:b/>
          <w:sz w:val="32"/>
          <w:szCs w:val="32"/>
        </w:rPr>
      </w:pPr>
      <w:r w:rsidRPr="0098684F">
        <w:rPr>
          <w:b/>
          <w:sz w:val="32"/>
          <w:szCs w:val="32"/>
        </w:rPr>
        <w:t>WORKING GROUPS REPORT</w:t>
      </w:r>
    </w:p>
    <w:p w14:paraId="649EE645" w14:textId="77777777" w:rsidR="0098684F" w:rsidRDefault="0098684F" w:rsidP="0098684F">
      <w:pPr>
        <w:ind w:left="-567"/>
        <w:rPr>
          <w:b/>
          <w:sz w:val="32"/>
          <w:szCs w:val="32"/>
        </w:rPr>
      </w:pPr>
      <w:r w:rsidRPr="0098684F">
        <w:rPr>
          <w:b/>
          <w:sz w:val="32"/>
          <w:szCs w:val="32"/>
        </w:rPr>
        <w:t>Sofia, BU, 12-13 March 2019</w:t>
      </w:r>
    </w:p>
    <w:p w14:paraId="3EF4DB14" w14:textId="77777777" w:rsidR="0098684F" w:rsidRDefault="0098684F" w:rsidP="0098684F">
      <w:pPr>
        <w:ind w:left="-567"/>
        <w:rPr>
          <w:b/>
          <w:sz w:val="32"/>
          <w:szCs w:val="32"/>
        </w:rPr>
      </w:pPr>
    </w:p>
    <w:p w14:paraId="52856B53" w14:textId="77777777" w:rsidR="0098684F" w:rsidRDefault="0098684F" w:rsidP="0098684F">
      <w:pPr>
        <w:ind w:left="-567"/>
        <w:rPr>
          <w:b/>
          <w:sz w:val="24"/>
          <w:szCs w:val="24"/>
        </w:rPr>
      </w:pPr>
      <w:r>
        <w:rPr>
          <w:b/>
          <w:sz w:val="24"/>
          <w:szCs w:val="24"/>
        </w:rPr>
        <w:t>WG</w:t>
      </w:r>
      <w:r w:rsidR="00827301">
        <w:rPr>
          <w:b/>
          <w:sz w:val="24"/>
          <w:szCs w:val="24"/>
        </w:rPr>
        <w:t>1/3</w:t>
      </w:r>
      <w:r>
        <w:rPr>
          <w:b/>
          <w:sz w:val="24"/>
          <w:szCs w:val="24"/>
        </w:rPr>
        <w:t xml:space="preserve"> WORKSHOP:</w:t>
      </w:r>
      <w:r w:rsidR="00827301">
        <w:rPr>
          <w:b/>
          <w:sz w:val="24"/>
          <w:szCs w:val="24"/>
        </w:rPr>
        <w:t xml:space="preserve"> Data management strategies for scientific collections</w:t>
      </w:r>
    </w:p>
    <w:p w14:paraId="63733FEB" w14:textId="77777777" w:rsidR="0098684F" w:rsidRDefault="0098684F" w:rsidP="004C04AE">
      <w:pPr>
        <w:pStyle w:val="ListParagraph"/>
        <w:numPr>
          <w:ilvl w:val="0"/>
          <w:numId w:val="1"/>
        </w:numPr>
        <w:ind w:left="-142" w:hanging="425"/>
        <w:rPr>
          <w:sz w:val="24"/>
          <w:szCs w:val="24"/>
        </w:rPr>
      </w:pPr>
      <w:r>
        <w:rPr>
          <w:sz w:val="24"/>
          <w:szCs w:val="24"/>
        </w:rPr>
        <w:t>Attendance</w:t>
      </w:r>
      <w:r w:rsidR="00827301">
        <w:rPr>
          <w:sz w:val="24"/>
          <w:szCs w:val="24"/>
        </w:rPr>
        <w:t xml:space="preserve"> and planning</w:t>
      </w:r>
      <w:r>
        <w:rPr>
          <w:sz w:val="24"/>
          <w:szCs w:val="24"/>
        </w:rPr>
        <w:t>:</w:t>
      </w:r>
    </w:p>
    <w:p w14:paraId="5768025F" w14:textId="77777777" w:rsidR="0098684F" w:rsidRDefault="0098684F" w:rsidP="0098684F">
      <w:pPr>
        <w:pStyle w:val="ListParagraph"/>
        <w:numPr>
          <w:ilvl w:val="1"/>
          <w:numId w:val="1"/>
        </w:numPr>
        <w:rPr>
          <w:sz w:val="24"/>
          <w:szCs w:val="24"/>
        </w:rPr>
      </w:pPr>
      <w:r>
        <w:rPr>
          <w:sz w:val="24"/>
          <w:szCs w:val="24"/>
        </w:rPr>
        <w:t>WG Leader and Co-Leader</w:t>
      </w:r>
    </w:p>
    <w:p w14:paraId="4C2FD4D9" w14:textId="77777777" w:rsidR="0004151F" w:rsidRPr="0004151F" w:rsidRDefault="0004151F" w:rsidP="0004151F">
      <w:pPr>
        <w:pStyle w:val="ListParagraph"/>
        <w:ind w:left="513"/>
        <w:rPr>
          <w:color w:val="0070C0"/>
          <w:sz w:val="24"/>
          <w:szCs w:val="24"/>
        </w:rPr>
      </w:pPr>
      <w:r w:rsidRPr="0004151F">
        <w:rPr>
          <w:color w:val="0070C0"/>
          <w:sz w:val="24"/>
          <w:szCs w:val="24"/>
        </w:rPr>
        <w:t>WG1: Patricia Mergen, Quentin Groom, Alexander Weigand</w:t>
      </w:r>
      <w:r w:rsidR="00827301">
        <w:rPr>
          <w:color w:val="0070C0"/>
          <w:sz w:val="24"/>
          <w:szCs w:val="24"/>
        </w:rPr>
        <w:t xml:space="preserve"> </w:t>
      </w:r>
    </w:p>
    <w:p w14:paraId="6205569B" w14:textId="77777777" w:rsidR="0004151F" w:rsidRPr="0004151F" w:rsidRDefault="0004151F" w:rsidP="0004151F">
      <w:pPr>
        <w:pStyle w:val="ListParagraph"/>
        <w:ind w:left="513"/>
        <w:rPr>
          <w:color w:val="0070C0"/>
          <w:sz w:val="24"/>
          <w:szCs w:val="24"/>
        </w:rPr>
      </w:pPr>
      <w:r w:rsidRPr="0004151F">
        <w:rPr>
          <w:color w:val="0070C0"/>
          <w:sz w:val="24"/>
          <w:szCs w:val="24"/>
        </w:rPr>
        <w:t>WG3: Eva Häffner, Wouter Addink, Ole Seberg</w:t>
      </w:r>
    </w:p>
    <w:p w14:paraId="01D866FB" w14:textId="77777777" w:rsidR="0004151F" w:rsidRPr="0004151F" w:rsidRDefault="0098684F" w:rsidP="0098684F">
      <w:pPr>
        <w:pStyle w:val="ListParagraph"/>
        <w:numPr>
          <w:ilvl w:val="1"/>
          <w:numId w:val="1"/>
        </w:numPr>
        <w:rPr>
          <w:sz w:val="24"/>
          <w:szCs w:val="24"/>
        </w:rPr>
      </w:pPr>
      <w:r>
        <w:rPr>
          <w:sz w:val="24"/>
          <w:szCs w:val="24"/>
        </w:rPr>
        <w:t>Convener</w:t>
      </w:r>
      <w:r w:rsidR="0004151F">
        <w:rPr>
          <w:sz w:val="24"/>
          <w:szCs w:val="24"/>
        </w:rPr>
        <w:t xml:space="preserve">s: </w:t>
      </w:r>
      <w:r w:rsidR="0004151F" w:rsidRPr="0004151F">
        <w:rPr>
          <w:color w:val="0070C0"/>
          <w:sz w:val="24"/>
          <w:szCs w:val="24"/>
        </w:rPr>
        <w:t>Wouter Addink and Eva Häffner</w:t>
      </w:r>
      <w:r w:rsidR="0004151F">
        <w:rPr>
          <w:color w:val="0070C0"/>
          <w:sz w:val="24"/>
          <w:szCs w:val="24"/>
        </w:rPr>
        <w:t>,</w:t>
      </w:r>
    </w:p>
    <w:p w14:paraId="65F36986" w14:textId="77777777" w:rsidR="0004151F" w:rsidRDefault="0004151F" w:rsidP="0004151F">
      <w:pPr>
        <w:pStyle w:val="ListParagraph"/>
        <w:ind w:left="513"/>
        <w:rPr>
          <w:sz w:val="24"/>
          <w:szCs w:val="24"/>
        </w:rPr>
      </w:pPr>
      <w:r>
        <w:rPr>
          <w:color w:val="0070C0"/>
          <w:sz w:val="24"/>
          <w:szCs w:val="24"/>
        </w:rPr>
        <w:t>Co-Conveners (unable to attend): Patricia Mergen</w:t>
      </w:r>
      <w:r w:rsidR="000F7E89">
        <w:rPr>
          <w:color w:val="0070C0"/>
          <w:sz w:val="24"/>
          <w:szCs w:val="24"/>
        </w:rPr>
        <w:t>,</w:t>
      </w:r>
      <w:r w:rsidR="00EA05E3">
        <w:rPr>
          <w:color w:val="0070C0"/>
          <w:sz w:val="24"/>
          <w:szCs w:val="24"/>
        </w:rPr>
        <w:t xml:space="preserve"> </w:t>
      </w:r>
      <w:r w:rsidR="000F7E89">
        <w:rPr>
          <w:color w:val="0070C0"/>
          <w:sz w:val="24"/>
          <w:szCs w:val="24"/>
        </w:rPr>
        <w:t>Quentin Groom, Alexander Weigand</w:t>
      </w:r>
      <w:r>
        <w:rPr>
          <w:color w:val="0070C0"/>
          <w:sz w:val="24"/>
          <w:szCs w:val="24"/>
        </w:rPr>
        <w:t xml:space="preserve"> and Ole </w:t>
      </w:r>
      <w:proofErr w:type="spellStart"/>
      <w:r>
        <w:rPr>
          <w:color w:val="0070C0"/>
          <w:sz w:val="24"/>
          <w:szCs w:val="24"/>
        </w:rPr>
        <w:t>Seberg</w:t>
      </w:r>
      <w:proofErr w:type="spellEnd"/>
      <w:r>
        <w:rPr>
          <w:sz w:val="24"/>
          <w:szCs w:val="24"/>
        </w:rPr>
        <w:t xml:space="preserve"> </w:t>
      </w:r>
    </w:p>
    <w:p w14:paraId="46241851" w14:textId="77777777" w:rsidR="0098684F" w:rsidRDefault="0098684F" w:rsidP="0004151F">
      <w:pPr>
        <w:pStyle w:val="ListParagraph"/>
        <w:ind w:left="513"/>
        <w:rPr>
          <w:sz w:val="24"/>
          <w:szCs w:val="24"/>
        </w:rPr>
      </w:pPr>
      <w:r>
        <w:rPr>
          <w:sz w:val="24"/>
          <w:szCs w:val="24"/>
        </w:rPr>
        <w:t>Rapporteur</w:t>
      </w:r>
      <w:r w:rsidR="0004151F">
        <w:rPr>
          <w:sz w:val="24"/>
          <w:szCs w:val="24"/>
        </w:rPr>
        <w:t xml:space="preserve">: </w:t>
      </w:r>
      <w:r w:rsidR="0004151F" w:rsidRPr="001F49EA">
        <w:rPr>
          <w:color w:val="0070C0"/>
          <w:sz w:val="24"/>
          <w:szCs w:val="24"/>
        </w:rPr>
        <w:t>Wouter Addink</w:t>
      </w:r>
    </w:p>
    <w:p w14:paraId="71C5B5B6" w14:textId="77777777" w:rsidR="0004151F" w:rsidRDefault="0004151F" w:rsidP="0004151F">
      <w:pPr>
        <w:pStyle w:val="ListParagraph"/>
        <w:ind w:left="513"/>
        <w:rPr>
          <w:sz w:val="24"/>
          <w:szCs w:val="24"/>
        </w:rPr>
      </w:pPr>
    </w:p>
    <w:p w14:paraId="48D90299" w14:textId="77777777" w:rsidR="0098684F" w:rsidRDefault="0004151F" w:rsidP="0098684F">
      <w:pPr>
        <w:pStyle w:val="ListParagraph"/>
        <w:numPr>
          <w:ilvl w:val="1"/>
          <w:numId w:val="1"/>
        </w:numPr>
        <w:rPr>
          <w:sz w:val="24"/>
          <w:szCs w:val="24"/>
        </w:rPr>
      </w:pPr>
      <w:r>
        <w:rPr>
          <w:sz w:val="24"/>
          <w:szCs w:val="24"/>
        </w:rPr>
        <w:t>Nu</w:t>
      </w:r>
      <w:r w:rsidR="004C04AE">
        <w:rPr>
          <w:sz w:val="24"/>
          <w:szCs w:val="24"/>
        </w:rPr>
        <w:t xml:space="preserve">mber of </w:t>
      </w:r>
      <w:r>
        <w:rPr>
          <w:sz w:val="24"/>
          <w:szCs w:val="24"/>
        </w:rPr>
        <w:t xml:space="preserve">Participants: </w:t>
      </w:r>
      <w:r w:rsidR="006B11FB" w:rsidRPr="006B11FB">
        <w:rPr>
          <w:color w:val="0070C0"/>
          <w:sz w:val="24"/>
          <w:szCs w:val="24"/>
        </w:rPr>
        <w:t>26</w:t>
      </w:r>
    </w:p>
    <w:p w14:paraId="48458E9C" w14:textId="77777777" w:rsidR="0004151F" w:rsidRPr="006B11FB" w:rsidRDefault="0004151F" w:rsidP="0004151F">
      <w:pPr>
        <w:pStyle w:val="ListParagraph"/>
        <w:ind w:left="513"/>
        <w:rPr>
          <w:color w:val="0070C0"/>
        </w:rPr>
      </w:pPr>
      <w:r w:rsidRPr="001B3B45">
        <w:rPr>
          <w:rFonts w:eastAsia="Times New Roman" w:cs="Times New Roman"/>
          <w:iCs/>
          <w:color w:val="0070C0"/>
          <w:lang w:val="en-US"/>
        </w:rPr>
        <w:t xml:space="preserve">Participants: </w:t>
      </w:r>
      <w:r w:rsidR="006B11FB" w:rsidRPr="001B3B45">
        <w:rPr>
          <w:rFonts w:eastAsia="Times New Roman" w:cs="Times New Roman"/>
          <w:iCs/>
          <w:color w:val="0070C0"/>
          <w:lang w:val="en-US"/>
        </w:rPr>
        <w:t xml:space="preserve">Wouter Addink, </w:t>
      </w:r>
      <w:proofErr w:type="spellStart"/>
      <w:r w:rsidRPr="001B3B45">
        <w:rPr>
          <w:rFonts w:eastAsia="Times New Roman" w:cs="Times New Roman"/>
          <w:iCs/>
          <w:color w:val="0070C0"/>
          <w:lang w:val="en-US"/>
        </w:rPr>
        <w:t>Eleftheria</w:t>
      </w:r>
      <w:proofErr w:type="spellEnd"/>
      <w:r w:rsidRPr="001B3B45">
        <w:rPr>
          <w:rFonts w:eastAsia="Times New Roman" w:cs="Times New Roman"/>
          <w:iCs/>
          <w:color w:val="0070C0"/>
          <w:lang w:val="en-US"/>
        </w:rPr>
        <w:t xml:space="preserve"> </w:t>
      </w:r>
      <w:proofErr w:type="spellStart"/>
      <w:r w:rsidRPr="001B3B45">
        <w:rPr>
          <w:rFonts w:eastAsia="Times New Roman" w:cs="Times New Roman"/>
          <w:iCs/>
          <w:color w:val="0070C0"/>
          <w:lang w:val="en-US"/>
        </w:rPr>
        <w:t>Andaloudaki</w:t>
      </w:r>
      <w:proofErr w:type="spellEnd"/>
      <w:r w:rsidRPr="001B3B45">
        <w:rPr>
          <w:rFonts w:eastAsia="Times New Roman" w:cs="Times New Roman"/>
          <w:iCs/>
          <w:color w:val="0070C0"/>
          <w:lang w:val="en-US"/>
        </w:rPr>
        <w:t xml:space="preserve">, </w:t>
      </w:r>
      <w:proofErr w:type="spellStart"/>
      <w:r w:rsidR="006B11FB" w:rsidRPr="001B3B45">
        <w:rPr>
          <w:rFonts w:cstheme="minorHAnsi"/>
          <w:color w:val="0070C0"/>
        </w:rPr>
        <w:t>Torkild</w:t>
      </w:r>
      <w:proofErr w:type="spellEnd"/>
      <w:r w:rsidR="006B11FB" w:rsidRPr="001B3B45">
        <w:rPr>
          <w:rFonts w:cstheme="minorHAnsi"/>
          <w:color w:val="0070C0"/>
        </w:rPr>
        <w:t xml:space="preserve"> Bakken</w:t>
      </w:r>
      <w:r w:rsidR="006B11FB">
        <w:rPr>
          <w:rFonts w:cstheme="minorHAnsi"/>
          <w:color w:val="0070C0"/>
        </w:rPr>
        <w:t>,</w:t>
      </w:r>
      <w:r w:rsidR="006B11FB" w:rsidRPr="006B11FB">
        <w:rPr>
          <w:rFonts w:eastAsia="Times New Roman" w:cs="Times New Roman"/>
          <w:iCs/>
          <w:color w:val="0070C0"/>
          <w:lang w:val="en-US"/>
        </w:rPr>
        <w:t xml:space="preserve"> </w:t>
      </w:r>
      <w:r w:rsidRPr="006B11FB">
        <w:rPr>
          <w:rFonts w:eastAsia="Times New Roman" w:cs="Times New Roman"/>
          <w:iCs/>
          <w:color w:val="0070C0"/>
          <w:lang w:val="en-US"/>
        </w:rPr>
        <w:t xml:space="preserve">Olaf </w:t>
      </w:r>
      <w:proofErr w:type="spellStart"/>
      <w:r w:rsidRPr="006B11FB">
        <w:rPr>
          <w:rFonts w:eastAsia="Times New Roman" w:cs="Times New Roman"/>
          <w:iCs/>
          <w:color w:val="0070C0"/>
          <w:lang w:val="en-US"/>
        </w:rPr>
        <w:t>Bánki</w:t>
      </w:r>
      <w:proofErr w:type="spellEnd"/>
      <w:r w:rsidRPr="006B11FB">
        <w:rPr>
          <w:rFonts w:eastAsia="Times New Roman" w:cs="Times New Roman"/>
          <w:iCs/>
          <w:color w:val="0070C0"/>
          <w:lang w:val="en-US"/>
        </w:rPr>
        <w:t xml:space="preserve">, Dimitri </w:t>
      </w:r>
      <w:proofErr w:type="spellStart"/>
      <w:r w:rsidRPr="006B11FB">
        <w:rPr>
          <w:rFonts w:eastAsia="Times New Roman" w:cs="Times New Roman"/>
          <w:iCs/>
          <w:color w:val="0070C0"/>
          <w:lang w:val="en-US"/>
        </w:rPr>
        <w:t>Brosens</w:t>
      </w:r>
      <w:proofErr w:type="spellEnd"/>
      <w:r w:rsidRPr="006B11FB">
        <w:rPr>
          <w:rFonts w:eastAsia="Times New Roman" w:cs="Times New Roman"/>
          <w:iCs/>
          <w:color w:val="0070C0"/>
          <w:lang w:val="en-US"/>
        </w:rPr>
        <w:t xml:space="preserve">, Markus </w:t>
      </w:r>
      <w:proofErr w:type="spellStart"/>
      <w:r w:rsidRPr="006B11FB">
        <w:rPr>
          <w:rFonts w:eastAsia="Times New Roman" w:cs="Times New Roman"/>
          <w:iCs/>
          <w:color w:val="0070C0"/>
          <w:lang w:val="en-US"/>
        </w:rPr>
        <w:t>Döring</w:t>
      </w:r>
      <w:proofErr w:type="spellEnd"/>
      <w:r w:rsidRPr="006B11FB">
        <w:rPr>
          <w:rFonts w:eastAsia="Times New Roman" w:cs="Times New Roman"/>
          <w:iCs/>
          <w:color w:val="0070C0"/>
          <w:lang w:val="en-US"/>
        </w:rPr>
        <w:t xml:space="preserve">, Lorenzo Cecchi, Holger Frick, Valeri Georgiev, Borislav </w:t>
      </w:r>
      <w:proofErr w:type="spellStart"/>
      <w:r w:rsidRPr="006B11FB">
        <w:rPr>
          <w:rFonts w:eastAsia="Times New Roman" w:cs="Times New Roman"/>
          <w:iCs/>
          <w:color w:val="0070C0"/>
          <w:lang w:val="en-US"/>
        </w:rPr>
        <w:t>Georguiev</w:t>
      </w:r>
      <w:proofErr w:type="spellEnd"/>
      <w:r w:rsidRPr="006B11FB">
        <w:rPr>
          <w:rFonts w:eastAsia="Times New Roman" w:cs="Times New Roman"/>
          <w:iCs/>
          <w:color w:val="0070C0"/>
          <w:lang w:val="en-US"/>
        </w:rPr>
        <w:t xml:space="preserve">, </w:t>
      </w:r>
      <w:r w:rsidR="006B11FB" w:rsidRPr="006B11FB">
        <w:rPr>
          <w:color w:val="0070C0"/>
        </w:rPr>
        <w:t xml:space="preserve">Anton </w:t>
      </w:r>
      <w:proofErr w:type="spellStart"/>
      <w:r w:rsidR="006B11FB" w:rsidRPr="006B11FB">
        <w:rPr>
          <w:color w:val="0070C0"/>
        </w:rPr>
        <w:t>Güntsch</w:t>
      </w:r>
      <w:proofErr w:type="spellEnd"/>
      <w:r w:rsidR="006B11FB">
        <w:rPr>
          <w:color w:val="0070C0"/>
        </w:rPr>
        <w:t>,</w:t>
      </w:r>
      <w:r w:rsidR="006B11FB" w:rsidRPr="006B11FB">
        <w:rPr>
          <w:rFonts w:eastAsia="Times New Roman" w:cs="Times New Roman"/>
          <w:iCs/>
          <w:color w:val="0070C0"/>
          <w:lang w:val="en-US"/>
        </w:rPr>
        <w:t xml:space="preserve"> </w:t>
      </w:r>
      <w:r w:rsidR="006B11FB">
        <w:rPr>
          <w:rFonts w:eastAsia="Times New Roman" w:cs="Times New Roman"/>
          <w:iCs/>
          <w:color w:val="0070C0"/>
          <w:lang w:val="en-US"/>
        </w:rPr>
        <w:t xml:space="preserve">Eva </w:t>
      </w:r>
      <w:proofErr w:type="spellStart"/>
      <w:r w:rsidR="006B11FB">
        <w:rPr>
          <w:rFonts w:eastAsia="Times New Roman" w:cs="Times New Roman"/>
          <w:iCs/>
          <w:color w:val="0070C0"/>
          <w:lang w:val="en-US"/>
        </w:rPr>
        <w:t>Häffner</w:t>
      </w:r>
      <w:proofErr w:type="spellEnd"/>
      <w:r w:rsidR="006B11FB">
        <w:rPr>
          <w:rFonts w:eastAsia="Times New Roman" w:cs="Times New Roman"/>
          <w:iCs/>
          <w:color w:val="0070C0"/>
          <w:lang w:val="en-US"/>
        </w:rPr>
        <w:t xml:space="preserve">, </w:t>
      </w:r>
      <w:r w:rsidR="006B11FB" w:rsidRPr="006B11FB">
        <w:rPr>
          <w:rFonts w:cstheme="minorHAnsi"/>
          <w:color w:val="0070C0"/>
        </w:rPr>
        <w:t xml:space="preserve">Aino </w:t>
      </w:r>
      <w:proofErr w:type="spellStart"/>
      <w:r w:rsidR="006B11FB" w:rsidRPr="006B11FB">
        <w:rPr>
          <w:rFonts w:cstheme="minorHAnsi"/>
          <w:color w:val="0070C0"/>
        </w:rPr>
        <w:t>Juslén</w:t>
      </w:r>
      <w:proofErr w:type="spellEnd"/>
      <w:r w:rsidR="006B11FB">
        <w:rPr>
          <w:rFonts w:cstheme="minorHAnsi"/>
          <w:color w:val="0070C0"/>
        </w:rPr>
        <w:t>,</w:t>
      </w:r>
      <w:r w:rsidR="006B11FB" w:rsidRPr="006B11FB">
        <w:rPr>
          <w:color w:val="0070C0"/>
        </w:rPr>
        <w:t xml:space="preserve"> Danae </w:t>
      </w:r>
      <w:proofErr w:type="spellStart"/>
      <w:r w:rsidR="006B11FB" w:rsidRPr="006B11FB">
        <w:rPr>
          <w:color w:val="0070C0"/>
        </w:rPr>
        <w:t>Karakasi</w:t>
      </w:r>
      <w:proofErr w:type="spellEnd"/>
      <w:r w:rsidR="006B11FB">
        <w:rPr>
          <w:color w:val="0070C0"/>
        </w:rPr>
        <w:t>,</w:t>
      </w:r>
      <w:r w:rsidR="006B11FB" w:rsidRPr="006B11FB">
        <w:rPr>
          <w:rFonts w:eastAsia="Times New Roman" w:cs="Times New Roman"/>
          <w:iCs/>
          <w:color w:val="0070C0"/>
          <w:lang w:val="en-US"/>
        </w:rPr>
        <w:t xml:space="preserve"> </w:t>
      </w:r>
      <w:r w:rsidR="006B11FB" w:rsidRPr="006B11FB">
        <w:rPr>
          <w:rFonts w:cstheme="minorHAnsi"/>
          <w:color w:val="0070C0"/>
        </w:rPr>
        <w:t>Colin Kelleher</w:t>
      </w:r>
      <w:r w:rsidR="006B11FB">
        <w:rPr>
          <w:rFonts w:cstheme="minorHAnsi"/>
          <w:color w:val="0070C0"/>
        </w:rPr>
        <w:t>,</w:t>
      </w:r>
      <w:r w:rsidR="006B11FB" w:rsidRPr="006B11FB">
        <w:rPr>
          <w:color w:val="0070C0"/>
        </w:rPr>
        <w:t xml:space="preserve"> Dimitris Koureas</w:t>
      </w:r>
      <w:r w:rsidR="006B11FB">
        <w:rPr>
          <w:color w:val="0070C0"/>
        </w:rPr>
        <w:t>,</w:t>
      </w:r>
      <w:r w:rsidR="006B11FB" w:rsidRPr="006B11FB">
        <w:rPr>
          <w:rFonts w:eastAsia="Times New Roman" w:cs="Times New Roman"/>
          <w:iCs/>
          <w:color w:val="0070C0"/>
          <w:lang w:val="en-US"/>
        </w:rPr>
        <w:t xml:space="preserve"> </w:t>
      </w:r>
      <w:r w:rsidR="006B11FB" w:rsidRPr="006B11FB">
        <w:rPr>
          <w:color w:val="0070C0"/>
        </w:rPr>
        <w:t xml:space="preserve">Kari </w:t>
      </w:r>
      <w:proofErr w:type="spellStart"/>
      <w:r w:rsidR="006B11FB" w:rsidRPr="006B11FB">
        <w:rPr>
          <w:color w:val="0070C0"/>
        </w:rPr>
        <w:t>Lintulaakso</w:t>
      </w:r>
      <w:proofErr w:type="spellEnd"/>
      <w:r w:rsidR="006B11FB">
        <w:rPr>
          <w:color w:val="0070C0"/>
        </w:rPr>
        <w:t>,</w:t>
      </w:r>
      <w:r w:rsidR="006B11FB" w:rsidRPr="006B11FB">
        <w:rPr>
          <w:rFonts w:eastAsia="Times New Roman" w:cs="Times New Roman"/>
          <w:iCs/>
          <w:color w:val="0070C0"/>
          <w:lang w:val="en-US"/>
        </w:rPr>
        <w:t xml:space="preserve"> </w:t>
      </w:r>
      <w:r w:rsidR="006B11FB" w:rsidRPr="006B11FB">
        <w:rPr>
          <w:rFonts w:cstheme="minorHAnsi"/>
          <w:color w:val="0070C0"/>
        </w:rPr>
        <w:t>Kristian Meissner</w:t>
      </w:r>
      <w:r w:rsidR="006B11FB">
        <w:rPr>
          <w:rFonts w:cstheme="minorHAnsi"/>
          <w:color w:val="0070C0"/>
        </w:rPr>
        <w:t>,</w:t>
      </w:r>
      <w:r w:rsidR="006B11FB" w:rsidRPr="006B11FB" w:rsidDel="00FC319F">
        <w:rPr>
          <w:rFonts w:cstheme="minorHAnsi"/>
          <w:color w:val="0070C0"/>
        </w:rPr>
        <w:t xml:space="preserve"> </w:t>
      </w:r>
      <w:r w:rsidRPr="006B11FB">
        <w:rPr>
          <w:rFonts w:eastAsia="Times New Roman" w:cs="Times New Roman"/>
          <w:iCs/>
          <w:color w:val="0070C0"/>
          <w:lang w:val="en-US"/>
        </w:rPr>
        <w:t xml:space="preserve">Aleksandra Nina, </w:t>
      </w:r>
      <w:r w:rsidR="006B11FB" w:rsidRPr="006B11FB">
        <w:rPr>
          <w:rFonts w:cstheme="minorHAnsi"/>
          <w:color w:val="0070C0"/>
        </w:rPr>
        <w:t xml:space="preserve">Anne </w:t>
      </w:r>
      <w:proofErr w:type="spellStart"/>
      <w:r w:rsidR="006B11FB" w:rsidRPr="006B11FB">
        <w:rPr>
          <w:rFonts w:cstheme="minorHAnsi"/>
          <w:color w:val="0070C0"/>
        </w:rPr>
        <w:t>Nivart</w:t>
      </w:r>
      <w:proofErr w:type="spellEnd"/>
      <w:r w:rsidR="006B11FB">
        <w:rPr>
          <w:rFonts w:cstheme="minorHAnsi"/>
          <w:color w:val="0070C0"/>
        </w:rPr>
        <w:t>,</w:t>
      </w:r>
      <w:r w:rsidR="006B11FB" w:rsidRPr="006B11FB">
        <w:rPr>
          <w:color w:val="0070C0"/>
        </w:rPr>
        <w:t xml:space="preserve"> Lars </w:t>
      </w:r>
      <w:proofErr w:type="spellStart"/>
      <w:r w:rsidR="006B11FB" w:rsidRPr="006B11FB">
        <w:rPr>
          <w:color w:val="0070C0"/>
        </w:rPr>
        <w:t>Petterson</w:t>
      </w:r>
      <w:proofErr w:type="spellEnd"/>
      <w:r w:rsidR="006B11FB">
        <w:rPr>
          <w:color w:val="0070C0"/>
        </w:rPr>
        <w:t>,</w:t>
      </w:r>
      <w:r w:rsidR="006B11FB" w:rsidRPr="006B11FB">
        <w:rPr>
          <w:rFonts w:eastAsia="Times New Roman" w:cs="Times New Roman"/>
          <w:iCs/>
          <w:color w:val="0070C0"/>
          <w:lang w:val="en-US"/>
        </w:rPr>
        <w:t xml:space="preserve"> </w:t>
      </w:r>
      <w:r w:rsidRPr="006B11FB">
        <w:rPr>
          <w:rFonts w:eastAsia="Times New Roman" w:cs="Times New Roman"/>
          <w:iCs/>
          <w:color w:val="0070C0"/>
          <w:lang w:val="en-US"/>
        </w:rPr>
        <w:t xml:space="preserve">Nikolaus </w:t>
      </w:r>
      <w:proofErr w:type="spellStart"/>
      <w:r w:rsidRPr="006B11FB">
        <w:rPr>
          <w:rFonts w:eastAsia="Times New Roman" w:cs="Times New Roman"/>
          <w:iCs/>
          <w:color w:val="0070C0"/>
          <w:lang w:val="en-US"/>
        </w:rPr>
        <w:t>Szucsich</w:t>
      </w:r>
      <w:proofErr w:type="spellEnd"/>
      <w:r w:rsidRPr="006B11FB">
        <w:rPr>
          <w:rFonts w:eastAsia="Times New Roman" w:cs="Times New Roman"/>
          <w:iCs/>
          <w:color w:val="0070C0"/>
          <w:lang w:val="en-US"/>
        </w:rPr>
        <w:t xml:space="preserve">, Apostolos </w:t>
      </w:r>
      <w:proofErr w:type="spellStart"/>
      <w:r w:rsidRPr="006B11FB">
        <w:rPr>
          <w:rFonts w:eastAsia="Times New Roman" w:cs="Times New Roman"/>
          <w:iCs/>
          <w:color w:val="0070C0"/>
          <w:lang w:val="en-US"/>
        </w:rPr>
        <w:t>Trichas</w:t>
      </w:r>
      <w:proofErr w:type="spellEnd"/>
      <w:r w:rsidRPr="006B11FB">
        <w:rPr>
          <w:color w:val="0070C0"/>
        </w:rPr>
        <w:t>,</w:t>
      </w:r>
      <w:r w:rsidRPr="006B11FB" w:rsidDel="002D3DDB">
        <w:rPr>
          <w:color w:val="0070C0"/>
        </w:rPr>
        <w:t xml:space="preserve"> </w:t>
      </w:r>
      <w:r w:rsidRPr="006B11FB">
        <w:rPr>
          <w:color w:val="0070C0"/>
        </w:rPr>
        <w:t xml:space="preserve">Claus Weiland, </w:t>
      </w:r>
      <w:proofErr w:type="spellStart"/>
      <w:r w:rsidRPr="006B11FB">
        <w:rPr>
          <w:rFonts w:cstheme="minorHAnsi"/>
          <w:color w:val="0070C0"/>
        </w:rPr>
        <w:t>Kaloust</w:t>
      </w:r>
      <w:proofErr w:type="spellEnd"/>
      <w:r w:rsidRPr="006B11FB">
        <w:rPr>
          <w:rFonts w:cstheme="minorHAnsi"/>
          <w:color w:val="0070C0"/>
        </w:rPr>
        <w:t xml:space="preserve"> </w:t>
      </w:r>
      <w:proofErr w:type="spellStart"/>
      <w:r w:rsidRPr="006B11FB">
        <w:rPr>
          <w:rFonts w:cstheme="minorHAnsi"/>
          <w:color w:val="0070C0"/>
        </w:rPr>
        <w:t>Paragamian</w:t>
      </w:r>
      <w:proofErr w:type="spellEnd"/>
      <w:r w:rsidRPr="006B11FB">
        <w:rPr>
          <w:rFonts w:cstheme="minorHAnsi"/>
          <w:color w:val="0070C0"/>
        </w:rPr>
        <w:t xml:space="preserve">, </w:t>
      </w:r>
      <w:r w:rsidR="006B11FB">
        <w:rPr>
          <w:rFonts w:cstheme="minorHAnsi"/>
          <w:color w:val="0070C0"/>
        </w:rPr>
        <w:t>Matt Woodburn.</w:t>
      </w:r>
    </w:p>
    <w:p w14:paraId="2F7CC725" w14:textId="77777777" w:rsidR="0098684F" w:rsidRDefault="0098684F" w:rsidP="0098684F">
      <w:pPr>
        <w:pStyle w:val="ListParagraph"/>
        <w:numPr>
          <w:ilvl w:val="1"/>
          <w:numId w:val="1"/>
        </w:numPr>
        <w:rPr>
          <w:sz w:val="24"/>
          <w:szCs w:val="24"/>
        </w:rPr>
      </w:pPr>
      <w:r>
        <w:rPr>
          <w:sz w:val="24"/>
          <w:szCs w:val="24"/>
        </w:rPr>
        <w:t>Inclusiveness rate of the WG participation:</w:t>
      </w:r>
    </w:p>
    <w:p w14:paraId="60F0B36D" w14:textId="77777777" w:rsidR="0098684F" w:rsidRDefault="0098684F" w:rsidP="0098684F">
      <w:pPr>
        <w:pStyle w:val="ListParagraph"/>
        <w:numPr>
          <w:ilvl w:val="0"/>
          <w:numId w:val="3"/>
        </w:numPr>
        <w:ind w:left="1134" w:hanging="425"/>
        <w:rPr>
          <w:sz w:val="24"/>
          <w:szCs w:val="24"/>
        </w:rPr>
      </w:pPr>
      <w:r>
        <w:rPr>
          <w:sz w:val="24"/>
          <w:szCs w:val="24"/>
        </w:rPr>
        <w:t>Gender balance</w:t>
      </w:r>
      <w:r w:rsidR="006B11FB">
        <w:rPr>
          <w:sz w:val="24"/>
          <w:szCs w:val="24"/>
        </w:rPr>
        <w:t xml:space="preserve">: </w:t>
      </w:r>
      <w:r w:rsidR="006B11FB" w:rsidRPr="006B11FB">
        <w:rPr>
          <w:color w:val="0070C0"/>
          <w:sz w:val="24"/>
          <w:szCs w:val="24"/>
        </w:rPr>
        <w:t xml:space="preserve">male: 20, female: 6 (23% female) </w:t>
      </w:r>
    </w:p>
    <w:p w14:paraId="0D204666" w14:textId="77777777" w:rsidR="0098684F" w:rsidRDefault="0098684F" w:rsidP="0098684F">
      <w:pPr>
        <w:pStyle w:val="ListParagraph"/>
        <w:numPr>
          <w:ilvl w:val="0"/>
          <w:numId w:val="3"/>
        </w:numPr>
        <w:ind w:left="1134" w:hanging="425"/>
        <w:rPr>
          <w:sz w:val="24"/>
          <w:szCs w:val="24"/>
        </w:rPr>
      </w:pPr>
      <w:r w:rsidRPr="0098684F">
        <w:rPr>
          <w:sz w:val="24"/>
          <w:szCs w:val="24"/>
        </w:rPr>
        <w:t>Geographical distribution</w:t>
      </w:r>
      <w:r w:rsidR="006B11FB">
        <w:rPr>
          <w:sz w:val="24"/>
          <w:szCs w:val="24"/>
        </w:rPr>
        <w:t xml:space="preserve">: </w:t>
      </w:r>
      <w:r w:rsidR="006B11FB" w:rsidRPr="00F132D7">
        <w:rPr>
          <w:color w:val="0070C0"/>
          <w:sz w:val="24"/>
          <w:szCs w:val="24"/>
        </w:rPr>
        <w:t xml:space="preserve">Austria: 1 Belgium: 1, Bulgaria: 2 Denmark: 1, Finland: </w:t>
      </w:r>
      <w:r w:rsidR="00F132D7" w:rsidRPr="00F132D7">
        <w:rPr>
          <w:color w:val="0070C0"/>
          <w:sz w:val="24"/>
          <w:szCs w:val="24"/>
        </w:rPr>
        <w:t>3</w:t>
      </w:r>
      <w:r w:rsidR="006B11FB" w:rsidRPr="00F132D7">
        <w:rPr>
          <w:color w:val="0070C0"/>
          <w:sz w:val="24"/>
          <w:szCs w:val="24"/>
        </w:rPr>
        <w:t xml:space="preserve">, France: 1, Germany: 3 Greece: 4, Italy:1, Ireland: 1, Netherlands: 3, </w:t>
      </w:r>
      <w:r w:rsidR="00F132D7" w:rsidRPr="00F132D7">
        <w:rPr>
          <w:color w:val="0070C0"/>
          <w:sz w:val="24"/>
          <w:szCs w:val="24"/>
        </w:rPr>
        <w:t xml:space="preserve">Norway: 1, </w:t>
      </w:r>
      <w:r w:rsidR="006B11FB" w:rsidRPr="00F132D7">
        <w:rPr>
          <w:color w:val="0070C0"/>
          <w:sz w:val="24"/>
          <w:szCs w:val="24"/>
        </w:rPr>
        <w:t>Serbia: 1, Sweden: 1</w:t>
      </w:r>
      <w:r w:rsidR="00F132D7" w:rsidRPr="00F132D7">
        <w:rPr>
          <w:color w:val="0070C0"/>
          <w:sz w:val="24"/>
          <w:szCs w:val="24"/>
        </w:rPr>
        <w:t xml:space="preserve">, Switzerland: 1, </w:t>
      </w:r>
      <w:r w:rsidR="006B11FB" w:rsidRPr="00F132D7">
        <w:rPr>
          <w:color w:val="0070C0"/>
          <w:sz w:val="24"/>
          <w:szCs w:val="24"/>
        </w:rPr>
        <w:t xml:space="preserve">UK: </w:t>
      </w:r>
      <w:r w:rsidR="00F132D7" w:rsidRPr="00F132D7">
        <w:rPr>
          <w:color w:val="0070C0"/>
          <w:sz w:val="24"/>
          <w:szCs w:val="24"/>
        </w:rPr>
        <w:t>1</w:t>
      </w:r>
      <w:r w:rsidR="006B11FB" w:rsidRPr="00F132D7">
        <w:rPr>
          <w:color w:val="0070C0"/>
          <w:sz w:val="24"/>
          <w:szCs w:val="24"/>
        </w:rPr>
        <w:t xml:space="preserve"> </w:t>
      </w:r>
    </w:p>
    <w:p w14:paraId="2A397CD1" w14:textId="77777777" w:rsidR="0098684F" w:rsidRPr="0098684F" w:rsidRDefault="0098684F" w:rsidP="0098684F">
      <w:pPr>
        <w:pStyle w:val="ListParagraph"/>
        <w:numPr>
          <w:ilvl w:val="0"/>
          <w:numId w:val="3"/>
        </w:numPr>
        <w:ind w:left="1134" w:hanging="425"/>
        <w:rPr>
          <w:sz w:val="24"/>
          <w:szCs w:val="24"/>
        </w:rPr>
      </w:pPr>
      <w:r w:rsidRPr="0098684F">
        <w:rPr>
          <w:sz w:val="24"/>
          <w:szCs w:val="24"/>
        </w:rPr>
        <w:t>Seniority</w:t>
      </w:r>
      <w:r w:rsidR="00F132D7">
        <w:rPr>
          <w:sz w:val="24"/>
          <w:szCs w:val="24"/>
        </w:rPr>
        <w:t xml:space="preserve">: </w:t>
      </w:r>
      <w:r w:rsidR="00BB2B05">
        <w:rPr>
          <w:color w:val="4472C4" w:themeColor="accent1"/>
          <w:sz w:val="24"/>
          <w:szCs w:val="24"/>
        </w:rPr>
        <w:t>5</w:t>
      </w:r>
      <w:r w:rsidR="00F132D7" w:rsidRPr="00BB2B05">
        <w:rPr>
          <w:color w:val="4472C4" w:themeColor="accent1"/>
          <w:sz w:val="24"/>
          <w:szCs w:val="24"/>
        </w:rPr>
        <w:t xml:space="preserve"> Early Career</w:t>
      </w:r>
      <w:r w:rsidR="00BB2B05">
        <w:rPr>
          <w:color w:val="4472C4" w:themeColor="accent1"/>
          <w:sz w:val="24"/>
          <w:szCs w:val="24"/>
        </w:rPr>
        <w:t xml:space="preserve"> professionals</w:t>
      </w:r>
      <w:r w:rsidR="00EA05E3">
        <w:rPr>
          <w:color w:val="4472C4" w:themeColor="accent1"/>
          <w:sz w:val="24"/>
          <w:szCs w:val="24"/>
        </w:rPr>
        <w:t xml:space="preserve"> (19%)</w:t>
      </w:r>
    </w:p>
    <w:p w14:paraId="7A761585" w14:textId="77777777" w:rsidR="0098684F" w:rsidRDefault="0098684F" w:rsidP="004C04AE">
      <w:pPr>
        <w:pStyle w:val="ListParagraph"/>
        <w:numPr>
          <w:ilvl w:val="0"/>
          <w:numId w:val="1"/>
        </w:numPr>
        <w:ind w:left="-142" w:hanging="425"/>
        <w:rPr>
          <w:sz w:val="24"/>
          <w:szCs w:val="24"/>
        </w:rPr>
      </w:pPr>
      <w:r>
        <w:rPr>
          <w:sz w:val="24"/>
          <w:szCs w:val="24"/>
        </w:rPr>
        <w:t>Objectives of the WG workshop</w:t>
      </w:r>
      <w:r w:rsidR="00F132D7">
        <w:rPr>
          <w:sz w:val="24"/>
          <w:szCs w:val="24"/>
        </w:rPr>
        <w:t>:</w:t>
      </w:r>
    </w:p>
    <w:p w14:paraId="1F2486FB" w14:textId="77777777" w:rsidR="00BB2B05" w:rsidRPr="00BB2B05" w:rsidRDefault="00BB2B05" w:rsidP="00BB2B05">
      <w:pPr>
        <w:pStyle w:val="ListParagraph"/>
        <w:numPr>
          <w:ilvl w:val="0"/>
          <w:numId w:val="5"/>
        </w:numPr>
        <w:rPr>
          <w:color w:val="4472C4" w:themeColor="accent1"/>
          <w:sz w:val="24"/>
          <w:szCs w:val="24"/>
        </w:rPr>
      </w:pPr>
      <w:r w:rsidRPr="00BB2B05">
        <w:rPr>
          <w:color w:val="4472C4" w:themeColor="accent1"/>
          <w:sz w:val="24"/>
          <w:szCs w:val="24"/>
        </w:rPr>
        <w:t>Establish the network of experts across the community to deal with the different data management tasks arising within DiSSCo</w:t>
      </w:r>
    </w:p>
    <w:p w14:paraId="575B01CE" w14:textId="77777777" w:rsidR="00BB2B05" w:rsidRPr="00BB2B05" w:rsidRDefault="00BB2B05" w:rsidP="00BB2B05">
      <w:pPr>
        <w:pStyle w:val="ListParagraph"/>
        <w:numPr>
          <w:ilvl w:val="0"/>
          <w:numId w:val="5"/>
        </w:numPr>
        <w:rPr>
          <w:color w:val="4472C4" w:themeColor="accent1"/>
          <w:sz w:val="24"/>
          <w:szCs w:val="24"/>
        </w:rPr>
      </w:pPr>
      <w:r w:rsidRPr="00BB2B05">
        <w:rPr>
          <w:color w:val="4472C4" w:themeColor="accent1"/>
          <w:sz w:val="24"/>
          <w:szCs w:val="24"/>
        </w:rPr>
        <w:t xml:space="preserve">Complement the landscape analysis of current and planned data management activities </w:t>
      </w:r>
    </w:p>
    <w:p w14:paraId="596125A2" w14:textId="77777777" w:rsidR="00BB2B05" w:rsidRPr="00BB2B05" w:rsidRDefault="00BB2B05" w:rsidP="00BB2B05">
      <w:pPr>
        <w:pStyle w:val="ListParagraph"/>
        <w:numPr>
          <w:ilvl w:val="0"/>
          <w:numId w:val="5"/>
        </w:numPr>
        <w:rPr>
          <w:color w:val="4472C4" w:themeColor="accent1"/>
          <w:sz w:val="24"/>
          <w:szCs w:val="24"/>
        </w:rPr>
      </w:pPr>
      <w:r w:rsidRPr="00BB2B05">
        <w:rPr>
          <w:color w:val="4472C4" w:themeColor="accent1"/>
          <w:sz w:val="24"/>
          <w:szCs w:val="24"/>
        </w:rPr>
        <w:t>Identify priorities, structure the work program and plan future activities regarding data management in MOBILISE.</w:t>
      </w:r>
    </w:p>
    <w:p w14:paraId="7EEDA3F8" w14:textId="77777777" w:rsidR="0098684F" w:rsidRDefault="0098684F" w:rsidP="004C04AE">
      <w:pPr>
        <w:pStyle w:val="ListParagraph"/>
        <w:numPr>
          <w:ilvl w:val="0"/>
          <w:numId w:val="1"/>
        </w:numPr>
        <w:ind w:left="-142" w:hanging="425"/>
        <w:rPr>
          <w:sz w:val="24"/>
          <w:szCs w:val="24"/>
        </w:rPr>
      </w:pPr>
      <w:r>
        <w:rPr>
          <w:sz w:val="24"/>
          <w:szCs w:val="24"/>
        </w:rPr>
        <w:t>Topics discussed</w:t>
      </w:r>
    </w:p>
    <w:p w14:paraId="7DB8656A" w14:textId="77777777" w:rsidR="0098684F" w:rsidRDefault="0098684F" w:rsidP="00BF2EAE">
      <w:pPr>
        <w:pStyle w:val="ListParagraph"/>
        <w:numPr>
          <w:ilvl w:val="0"/>
          <w:numId w:val="7"/>
        </w:numPr>
        <w:ind w:left="357" w:hanging="357"/>
        <w:rPr>
          <w:sz w:val="24"/>
          <w:szCs w:val="24"/>
        </w:rPr>
      </w:pPr>
      <w:r w:rsidRPr="00BF2EAE">
        <w:rPr>
          <w:sz w:val="24"/>
          <w:szCs w:val="24"/>
        </w:rPr>
        <w:t>In reference to completion of Y1 objectives</w:t>
      </w:r>
      <w:r w:rsidR="00BF2EAE">
        <w:rPr>
          <w:sz w:val="24"/>
          <w:szCs w:val="24"/>
        </w:rPr>
        <w:t>:</w:t>
      </w:r>
    </w:p>
    <w:p w14:paraId="26178B52" w14:textId="77777777" w:rsidR="00BF2EAE" w:rsidRDefault="00BF2EAE" w:rsidP="00BF2EAE">
      <w:pPr>
        <w:rPr>
          <w:b/>
          <w:color w:val="4472C4" w:themeColor="accent1"/>
          <w:sz w:val="24"/>
          <w:szCs w:val="24"/>
        </w:rPr>
      </w:pPr>
      <w:r w:rsidRPr="00BF2EAE">
        <w:rPr>
          <w:b/>
          <w:color w:val="4472C4" w:themeColor="accent1"/>
          <w:sz w:val="24"/>
          <w:szCs w:val="24"/>
        </w:rPr>
        <w:lastRenderedPageBreak/>
        <w:t>GAPG 1 Synchronise efforts among Working Groups &amp; wider community</w:t>
      </w:r>
      <w:r>
        <w:rPr>
          <w:b/>
          <w:color w:val="4472C4" w:themeColor="accent1"/>
          <w:sz w:val="24"/>
          <w:szCs w:val="24"/>
        </w:rPr>
        <w:t>:</w:t>
      </w:r>
    </w:p>
    <w:p w14:paraId="70488D59" w14:textId="77777777" w:rsidR="00BF2EAE" w:rsidRDefault="00BF2EAE" w:rsidP="00BF2EAE">
      <w:pPr>
        <w:rPr>
          <w:color w:val="4472C4" w:themeColor="accent1"/>
          <w:sz w:val="24"/>
          <w:szCs w:val="24"/>
        </w:rPr>
      </w:pPr>
      <w:r>
        <w:rPr>
          <w:color w:val="4472C4" w:themeColor="accent1"/>
          <w:sz w:val="24"/>
          <w:szCs w:val="24"/>
        </w:rPr>
        <w:t xml:space="preserve">The workshop was designed to include participants and topics from the </w:t>
      </w:r>
      <w:r w:rsidR="00EA05E3">
        <w:rPr>
          <w:color w:val="4472C4" w:themeColor="accent1"/>
          <w:sz w:val="24"/>
          <w:szCs w:val="24"/>
        </w:rPr>
        <w:t xml:space="preserve">scientific </w:t>
      </w:r>
      <w:r>
        <w:rPr>
          <w:color w:val="4472C4" w:themeColor="accent1"/>
          <w:sz w:val="24"/>
          <w:szCs w:val="24"/>
        </w:rPr>
        <w:t>collections community as well as from outside the community, with strong links to DiSSCo</w:t>
      </w:r>
      <w:r w:rsidR="00172AD6">
        <w:rPr>
          <w:color w:val="4472C4" w:themeColor="accent1"/>
          <w:sz w:val="24"/>
          <w:szCs w:val="24"/>
        </w:rPr>
        <w:t xml:space="preserve"> (Distributed System of Scientific Collections). The</w:t>
      </w:r>
      <w:r>
        <w:rPr>
          <w:color w:val="4472C4" w:themeColor="accent1"/>
          <w:sz w:val="24"/>
          <w:szCs w:val="24"/>
        </w:rPr>
        <w:t xml:space="preserve"> wider biosciences community</w:t>
      </w:r>
      <w:r w:rsidR="00172AD6">
        <w:rPr>
          <w:color w:val="4472C4" w:themeColor="accent1"/>
          <w:sz w:val="24"/>
          <w:szCs w:val="24"/>
        </w:rPr>
        <w:t xml:space="preserve"> targeted included participants in</w:t>
      </w:r>
      <w:r>
        <w:rPr>
          <w:color w:val="4472C4" w:themeColor="accent1"/>
          <w:sz w:val="24"/>
          <w:szCs w:val="24"/>
        </w:rPr>
        <w:t xml:space="preserve"> </w:t>
      </w:r>
      <w:r w:rsidR="0091425A">
        <w:rPr>
          <w:color w:val="4472C4" w:themeColor="accent1"/>
          <w:sz w:val="24"/>
          <w:szCs w:val="24"/>
        </w:rPr>
        <w:t>the European life-sciences i</w:t>
      </w:r>
      <w:r w:rsidR="0091425A" w:rsidRPr="0091425A">
        <w:rPr>
          <w:color w:val="4472C4" w:themeColor="accent1"/>
          <w:sz w:val="24"/>
          <w:szCs w:val="24"/>
        </w:rPr>
        <w:t>nfrastructure for biological Information</w:t>
      </w:r>
      <w:r w:rsidR="0091425A">
        <w:rPr>
          <w:color w:val="4472C4" w:themeColor="accent1"/>
          <w:sz w:val="24"/>
          <w:szCs w:val="24"/>
        </w:rPr>
        <w:t xml:space="preserve"> (</w:t>
      </w:r>
      <w:r>
        <w:rPr>
          <w:color w:val="4472C4" w:themeColor="accent1"/>
          <w:sz w:val="24"/>
          <w:szCs w:val="24"/>
        </w:rPr>
        <w:t>ELIXIR</w:t>
      </w:r>
      <w:r w:rsidR="0091425A">
        <w:rPr>
          <w:color w:val="4472C4" w:themeColor="accent1"/>
          <w:sz w:val="24"/>
          <w:szCs w:val="24"/>
        </w:rPr>
        <w:t>)</w:t>
      </w:r>
      <w:r>
        <w:rPr>
          <w:color w:val="4472C4" w:themeColor="accent1"/>
          <w:sz w:val="24"/>
          <w:szCs w:val="24"/>
        </w:rPr>
        <w:t xml:space="preserve">, </w:t>
      </w:r>
      <w:r w:rsidR="0091425A">
        <w:rPr>
          <w:color w:val="4472C4" w:themeColor="accent1"/>
          <w:sz w:val="24"/>
          <w:szCs w:val="24"/>
        </w:rPr>
        <w:t>the COST Action “</w:t>
      </w:r>
      <w:r w:rsidR="0091425A" w:rsidRPr="0091425A">
        <w:rPr>
          <w:color w:val="4472C4" w:themeColor="accent1"/>
          <w:sz w:val="24"/>
          <w:szCs w:val="24"/>
        </w:rPr>
        <w:t>Developing new genetic tools for bioassessment of aquatic ecosystems in Europe”</w:t>
      </w:r>
      <w:r w:rsidR="0091425A">
        <w:rPr>
          <w:color w:val="4472C4" w:themeColor="accent1"/>
          <w:sz w:val="24"/>
          <w:szCs w:val="24"/>
        </w:rPr>
        <w:t xml:space="preserve"> (</w:t>
      </w:r>
      <w:proofErr w:type="spellStart"/>
      <w:r>
        <w:rPr>
          <w:color w:val="4472C4" w:themeColor="accent1"/>
          <w:sz w:val="24"/>
          <w:szCs w:val="24"/>
        </w:rPr>
        <w:t>DNAqua</w:t>
      </w:r>
      <w:proofErr w:type="spellEnd"/>
      <w:r w:rsidR="000F7E89">
        <w:rPr>
          <w:color w:val="4472C4" w:themeColor="accent1"/>
          <w:sz w:val="24"/>
          <w:szCs w:val="24"/>
        </w:rPr>
        <w:t>-</w:t>
      </w:r>
      <w:r>
        <w:rPr>
          <w:color w:val="4472C4" w:themeColor="accent1"/>
          <w:sz w:val="24"/>
          <w:szCs w:val="24"/>
        </w:rPr>
        <w:t xml:space="preserve">NET), </w:t>
      </w:r>
      <w:r w:rsidR="00172AD6">
        <w:rPr>
          <w:color w:val="4472C4" w:themeColor="accent1"/>
          <w:sz w:val="24"/>
          <w:szCs w:val="24"/>
        </w:rPr>
        <w:t>and</w:t>
      </w:r>
      <w:r>
        <w:rPr>
          <w:color w:val="4472C4" w:themeColor="accent1"/>
          <w:sz w:val="24"/>
          <w:szCs w:val="24"/>
        </w:rPr>
        <w:t xml:space="preserve"> cultural heritage projects </w:t>
      </w:r>
      <w:r w:rsidR="0091425A">
        <w:rPr>
          <w:color w:val="4472C4" w:themeColor="accent1"/>
          <w:sz w:val="24"/>
          <w:szCs w:val="24"/>
        </w:rPr>
        <w:t>,</w:t>
      </w:r>
      <w:r>
        <w:rPr>
          <w:color w:val="4472C4" w:themeColor="accent1"/>
          <w:sz w:val="24"/>
          <w:szCs w:val="24"/>
        </w:rPr>
        <w:t xml:space="preserve">e. g. </w:t>
      </w:r>
      <w:r w:rsidR="0091425A">
        <w:rPr>
          <w:color w:val="4472C4" w:themeColor="accent1"/>
          <w:sz w:val="24"/>
          <w:szCs w:val="24"/>
        </w:rPr>
        <w:t xml:space="preserve">the </w:t>
      </w:r>
      <w:r w:rsidR="0091425A" w:rsidRPr="0091425A">
        <w:rPr>
          <w:color w:val="4472C4" w:themeColor="accent1"/>
          <w:sz w:val="24"/>
          <w:szCs w:val="24"/>
        </w:rPr>
        <w:t>Digital Research Infrastructure for the Arts and Humanities</w:t>
      </w:r>
      <w:r w:rsidR="0091425A">
        <w:rPr>
          <w:color w:val="4472C4" w:themeColor="accent1"/>
          <w:sz w:val="24"/>
          <w:szCs w:val="24"/>
        </w:rPr>
        <w:t xml:space="preserve"> (</w:t>
      </w:r>
      <w:r>
        <w:rPr>
          <w:color w:val="4472C4" w:themeColor="accent1"/>
          <w:sz w:val="24"/>
          <w:szCs w:val="24"/>
        </w:rPr>
        <w:t>DARIAH</w:t>
      </w:r>
      <w:r w:rsidR="0091425A">
        <w:rPr>
          <w:color w:val="4472C4" w:themeColor="accent1"/>
          <w:sz w:val="24"/>
          <w:szCs w:val="24"/>
        </w:rPr>
        <w:t>)</w:t>
      </w:r>
      <w:r>
        <w:rPr>
          <w:color w:val="4472C4" w:themeColor="accent1"/>
          <w:sz w:val="24"/>
          <w:szCs w:val="24"/>
        </w:rPr>
        <w:t>,</w:t>
      </w:r>
      <w:r w:rsidR="0091425A">
        <w:rPr>
          <w:color w:val="4472C4" w:themeColor="accent1"/>
          <w:sz w:val="24"/>
          <w:szCs w:val="24"/>
        </w:rPr>
        <w:t xml:space="preserve"> </w:t>
      </w:r>
      <w:r w:rsidR="007037BB">
        <w:rPr>
          <w:color w:val="4472C4" w:themeColor="accent1"/>
          <w:sz w:val="24"/>
          <w:szCs w:val="24"/>
        </w:rPr>
        <w:t>“</w:t>
      </w:r>
      <w:r w:rsidR="007037BB" w:rsidRPr="007037BB">
        <w:rPr>
          <w:color w:val="4472C4" w:themeColor="accent1"/>
          <w:sz w:val="24"/>
          <w:szCs w:val="24"/>
        </w:rPr>
        <w:t>Linking Biodiversity and Culture Information</w:t>
      </w:r>
      <w:r w:rsidR="007037BB">
        <w:rPr>
          <w:color w:val="4472C4" w:themeColor="accent1"/>
          <w:sz w:val="24"/>
          <w:szCs w:val="24"/>
        </w:rPr>
        <w:t>” (</w:t>
      </w:r>
      <w:r>
        <w:rPr>
          <w:color w:val="4472C4" w:themeColor="accent1"/>
          <w:sz w:val="24"/>
          <w:szCs w:val="24"/>
        </w:rPr>
        <w:t>LINBI).</w:t>
      </w:r>
    </w:p>
    <w:p w14:paraId="2A6370E4" w14:textId="77777777" w:rsidR="00926FB8" w:rsidRPr="00BF2EAE" w:rsidRDefault="00BF2EAE" w:rsidP="00BF2EAE">
      <w:pPr>
        <w:rPr>
          <w:color w:val="4472C4" w:themeColor="accent1"/>
          <w:sz w:val="24"/>
          <w:szCs w:val="24"/>
        </w:rPr>
      </w:pPr>
      <w:r>
        <w:rPr>
          <w:color w:val="4472C4" w:themeColor="accent1"/>
          <w:sz w:val="24"/>
          <w:szCs w:val="24"/>
        </w:rPr>
        <w:t xml:space="preserve">For the synchronisation of efforts especially within the collections community and MOBILISE, the workshop built on the results of the MOBILISE </w:t>
      </w:r>
      <w:r w:rsidR="00172AD6">
        <w:rPr>
          <w:color w:val="4472C4" w:themeColor="accent1"/>
          <w:sz w:val="24"/>
          <w:szCs w:val="24"/>
        </w:rPr>
        <w:t>A</w:t>
      </w:r>
      <w:r>
        <w:rPr>
          <w:color w:val="4472C4" w:themeColor="accent1"/>
          <w:sz w:val="24"/>
          <w:szCs w:val="24"/>
        </w:rPr>
        <w:t xml:space="preserve">lign meeting that was held on </w:t>
      </w:r>
      <w:proofErr w:type="gramStart"/>
      <w:r>
        <w:rPr>
          <w:color w:val="4472C4" w:themeColor="accent1"/>
          <w:sz w:val="24"/>
          <w:szCs w:val="24"/>
        </w:rPr>
        <w:t>November,</w:t>
      </w:r>
      <w:proofErr w:type="gramEnd"/>
      <w:r>
        <w:rPr>
          <w:color w:val="4472C4" w:themeColor="accent1"/>
          <w:sz w:val="24"/>
          <w:szCs w:val="24"/>
        </w:rPr>
        <w:t xml:space="preserve"> 16</w:t>
      </w:r>
      <w:r w:rsidRPr="00BF2EAE">
        <w:rPr>
          <w:color w:val="4472C4" w:themeColor="accent1"/>
          <w:sz w:val="24"/>
          <w:szCs w:val="24"/>
          <w:vertAlign w:val="superscript"/>
        </w:rPr>
        <w:t>th</w:t>
      </w:r>
      <w:r>
        <w:rPr>
          <w:color w:val="4472C4" w:themeColor="accent1"/>
          <w:sz w:val="24"/>
          <w:szCs w:val="24"/>
        </w:rPr>
        <w:t xml:space="preserve"> 2018 in Bratislava.</w:t>
      </w:r>
      <w:r w:rsidR="00172AD6">
        <w:rPr>
          <w:color w:val="4472C4" w:themeColor="accent1"/>
          <w:sz w:val="24"/>
          <w:szCs w:val="24"/>
        </w:rPr>
        <w:t xml:space="preserve"> That meeting resulted in the formation of 5 thematic synchronisation groups, see also</w:t>
      </w:r>
      <w:r w:rsidR="00BA3D78">
        <w:rPr>
          <w:color w:val="4472C4" w:themeColor="accent1"/>
          <w:sz w:val="24"/>
          <w:szCs w:val="24"/>
        </w:rPr>
        <w:t xml:space="preserve"> </w:t>
      </w:r>
      <w:hyperlink r:id="rId9" w:history="1">
        <w:r w:rsidR="00BA3D78" w:rsidRPr="00BA3D78">
          <w:rPr>
            <w:rStyle w:val="Hyperlink"/>
            <w:sz w:val="24"/>
            <w:szCs w:val="24"/>
          </w:rPr>
          <w:t>http://bit.ly/sync_groups</w:t>
        </w:r>
      </w:hyperlink>
      <w:r w:rsidR="00BA3D78">
        <w:rPr>
          <w:color w:val="4472C4" w:themeColor="accent1"/>
          <w:sz w:val="24"/>
          <w:szCs w:val="24"/>
        </w:rPr>
        <w:t>.</w:t>
      </w:r>
      <w:r w:rsidR="00172AD6">
        <w:rPr>
          <w:color w:val="4472C4" w:themeColor="accent1"/>
          <w:sz w:val="24"/>
          <w:szCs w:val="24"/>
        </w:rPr>
        <w:t xml:space="preserve"> </w:t>
      </w:r>
      <w:r>
        <w:rPr>
          <w:color w:val="4472C4" w:themeColor="accent1"/>
          <w:sz w:val="24"/>
          <w:szCs w:val="24"/>
        </w:rPr>
        <w:t xml:space="preserve"> The workshop focused on the thematic </w:t>
      </w:r>
      <w:r w:rsidR="00BA3D78">
        <w:rPr>
          <w:color w:val="4472C4" w:themeColor="accent1"/>
          <w:sz w:val="24"/>
          <w:szCs w:val="24"/>
        </w:rPr>
        <w:t>s</w:t>
      </w:r>
      <w:r w:rsidR="00926FB8">
        <w:rPr>
          <w:color w:val="4472C4" w:themeColor="accent1"/>
          <w:sz w:val="24"/>
          <w:szCs w:val="24"/>
        </w:rPr>
        <w:t xml:space="preserve">ynchronisation </w:t>
      </w:r>
      <w:r w:rsidR="00BA3D78">
        <w:rPr>
          <w:color w:val="4472C4" w:themeColor="accent1"/>
          <w:sz w:val="24"/>
          <w:szCs w:val="24"/>
        </w:rPr>
        <w:t>g</w:t>
      </w:r>
      <w:r>
        <w:rPr>
          <w:color w:val="4472C4" w:themeColor="accent1"/>
          <w:sz w:val="24"/>
          <w:szCs w:val="24"/>
        </w:rPr>
        <w:t xml:space="preserve">roups </w:t>
      </w:r>
      <w:r w:rsidR="00926FB8">
        <w:rPr>
          <w:color w:val="4472C4" w:themeColor="accent1"/>
          <w:sz w:val="24"/>
          <w:szCs w:val="24"/>
        </w:rPr>
        <w:t>1 (international coordination and policy harmonisation), 2 (standards and other common resources) and 3 (</w:t>
      </w:r>
      <w:r w:rsidR="00BA3D78">
        <w:rPr>
          <w:color w:val="4472C4" w:themeColor="accent1"/>
          <w:sz w:val="24"/>
          <w:szCs w:val="24"/>
        </w:rPr>
        <w:t>d</w:t>
      </w:r>
      <w:r w:rsidR="00926FB8" w:rsidRPr="00926FB8">
        <w:rPr>
          <w:color w:val="4472C4" w:themeColor="accent1"/>
          <w:sz w:val="24"/>
          <w:szCs w:val="24"/>
        </w:rPr>
        <w:t>ata models, management, publishing pipelines &amp; services</w:t>
      </w:r>
      <w:r w:rsidR="00926FB8">
        <w:rPr>
          <w:color w:val="4472C4" w:themeColor="accent1"/>
          <w:sz w:val="24"/>
          <w:szCs w:val="24"/>
        </w:rPr>
        <w:t>). The respective experts have been invited and the breakout groups focused largely on analysing these fields further in terms of gaps and challenges and concrete actions.</w:t>
      </w:r>
    </w:p>
    <w:p w14:paraId="43EEA17C" w14:textId="77777777" w:rsidR="00BF2EAE" w:rsidRPr="00926FB8" w:rsidRDefault="00BF2EAE" w:rsidP="00BF2EAE">
      <w:pPr>
        <w:rPr>
          <w:b/>
          <w:color w:val="4472C4" w:themeColor="accent1"/>
          <w:sz w:val="24"/>
          <w:szCs w:val="24"/>
        </w:rPr>
      </w:pPr>
      <w:r w:rsidRPr="00926FB8">
        <w:rPr>
          <w:b/>
          <w:color w:val="4472C4" w:themeColor="accent1"/>
          <w:sz w:val="24"/>
          <w:szCs w:val="24"/>
        </w:rPr>
        <w:t>GAPG 6 Identify and activate experts, from inside and outside the collection community</w:t>
      </w:r>
    </w:p>
    <w:p w14:paraId="34B5F6E7" w14:textId="77777777" w:rsidR="00926FB8" w:rsidRDefault="00926FB8" w:rsidP="00BF2EAE">
      <w:pPr>
        <w:rPr>
          <w:color w:val="4472C4" w:themeColor="accent1"/>
          <w:sz w:val="24"/>
          <w:szCs w:val="24"/>
        </w:rPr>
      </w:pPr>
      <w:r>
        <w:rPr>
          <w:color w:val="4472C4" w:themeColor="accent1"/>
          <w:sz w:val="24"/>
          <w:szCs w:val="24"/>
        </w:rPr>
        <w:t>See also GAPG1 regarding inclusion of respective experts. Expertise and interests/ideas of experts have been identified in an interactive workshop session and have been documented (see A</w:t>
      </w:r>
      <w:r w:rsidR="006365EE">
        <w:rPr>
          <w:color w:val="4472C4" w:themeColor="accent1"/>
          <w:sz w:val="24"/>
          <w:szCs w:val="24"/>
        </w:rPr>
        <w:t>nne</w:t>
      </w:r>
      <w:r>
        <w:rPr>
          <w:color w:val="4472C4" w:themeColor="accent1"/>
          <w:sz w:val="24"/>
          <w:szCs w:val="24"/>
        </w:rPr>
        <w:t>x). Experts have been invited to name further experts who should be invited to contribute towards the goals of WG 1 and 3 and MOBILISE in general.</w:t>
      </w:r>
    </w:p>
    <w:p w14:paraId="43CDC220" w14:textId="77777777" w:rsidR="00926FB8" w:rsidRPr="00926FB8" w:rsidRDefault="00926FB8" w:rsidP="00BF2EAE">
      <w:pPr>
        <w:rPr>
          <w:b/>
          <w:color w:val="4472C4" w:themeColor="accent1"/>
          <w:sz w:val="24"/>
          <w:szCs w:val="24"/>
        </w:rPr>
      </w:pPr>
      <w:r w:rsidRPr="00926FB8">
        <w:rPr>
          <w:b/>
          <w:color w:val="4472C4" w:themeColor="accent1"/>
          <w:sz w:val="24"/>
          <w:szCs w:val="24"/>
        </w:rPr>
        <w:t xml:space="preserve">GAPG 8 Data models, management, publishing pipelines &amp; services </w:t>
      </w:r>
    </w:p>
    <w:p w14:paraId="479D2708" w14:textId="77777777" w:rsidR="00BF2EAE" w:rsidRPr="00BF2EAE" w:rsidRDefault="0034268E" w:rsidP="00BF2EAE">
      <w:pPr>
        <w:rPr>
          <w:color w:val="4472C4" w:themeColor="accent1"/>
          <w:sz w:val="24"/>
          <w:szCs w:val="24"/>
        </w:rPr>
      </w:pPr>
      <w:r>
        <w:rPr>
          <w:color w:val="4472C4" w:themeColor="accent1"/>
          <w:sz w:val="24"/>
          <w:szCs w:val="24"/>
        </w:rPr>
        <w:t>In the breakout sessions of the workshop, two groups identified challenges and possible activities and solutions to problems regarding standards, data models and data management</w:t>
      </w:r>
      <w:r w:rsidR="006B0180">
        <w:rPr>
          <w:color w:val="4472C4" w:themeColor="accent1"/>
          <w:sz w:val="24"/>
          <w:szCs w:val="24"/>
        </w:rPr>
        <w:t>, see also the extended report in the Annex</w:t>
      </w:r>
      <w:r>
        <w:rPr>
          <w:color w:val="4472C4" w:themeColor="accent1"/>
          <w:sz w:val="24"/>
          <w:szCs w:val="24"/>
        </w:rPr>
        <w:t>.</w:t>
      </w:r>
    </w:p>
    <w:p w14:paraId="72EF3CD6" w14:textId="77777777" w:rsidR="0098684F" w:rsidRDefault="0098684F" w:rsidP="0034268E">
      <w:pPr>
        <w:pStyle w:val="ListParagraph"/>
        <w:numPr>
          <w:ilvl w:val="0"/>
          <w:numId w:val="7"/>
        </w:numPr>
        <w:rPr>
          <w:sz w:val="24"/>
          <w:szCs w:val="24"/>
        </w:rPr>
      </w:pPr>
      <w:r w:rsidRPr="0034268E">
        <w:rPr>
          <w:sz w:val="24"/>
          <w:szCs w:val="24"/>
        </w:rPr>
        <w:t>Towards the definition of Y2 activities and actions</w:t>
      </w:r>
    </w:p>
    <w:p w14:paraId="5EFDE343" w14:textId="77777777" w:rsidR="004F21F8" w:rsidRPr="004F21F8" w:rsidRDefault="004F21F8" w:rsidP="004F21F8">
      <w:pPr>
        <w:rPr>
          <w:sz w:val="24"/>
          <w:szCs w:val="24"/>
        </w:rPr>
      </w:pPr>
      <w:r w:rsidRPr="004F21F8">
        <w:rPr>
          <w:color w:val="4472C4" w:themeColor="accent1"/>
          <w:sz w:val="24"/>
          <w:szCs w:val="24"/>
        </w:rPr>
        <w:t>Experts have identified action points and fields of activity that contribute to further analysing the landscape of standards and other resources and to address gaps and challenges. For year 2, it was agreed that WG1 and WG3 activities should contribute to the completion of the landscape analysis of standards and other common resources in 1-2 workshops. WG3 has identified digital specimen specification</w:t>
      </w:r>
      <w:r w:rsidR="006B0180">
        <w:rPr>
          <w:color w:val="4472C4" w:themeColor="accent1"/>
          <w:sz w:val="24"/>
          <w:szCs w:val="24"/>
        </w:rPr>
        <w:t xml:space="preserve"> (Open DS specification)</w:t>
      </w:r>
      <w:r w:rsidRPr="004F21F8">
        <w:rPr>
          <w:color w:val="4472C4" w:themeColor="accent1"/>
          <w:sz w:val="24"/>
          <w:szCs w:val="24"/>
        </w:rPr>
        <w:t xml:space="preserve"> and linked open data as priority topics for year 2 and intends to support respective workshops. All groups have furthermore been invited to discuss possible contributions to </w:t>
      </w:r>
      <w:r w:rsidR="00BA3D78">
        <w:rPr>
          <w:color w:val="4472C4" w:themeColor="accent1"/>
          <w:sz w:val="24"/>
          <w:szCs w:val="24"/>
        </w:rPr>
        <w:t>the b</w:t>
      </w:r>
      <w:r w:rsidRPr="004F21F8">
        <w:rPr>
          <w:color w:val="4472C4" w:themeColor="accent1"/>
          <w:sz w:val="24"/>
          <w:szCs w:val="24"/>
        </w:rPr>
        <w:t>iodiversity</w:t>
      </w:r>
      <w:r w:rsidR="00BA3D78">
        <w:rPr>
          <w:color w:val="4472C4" w:themeColor="accent1"/>
          <w:sz w:val="24"/>
          <w:szCs w:val="24"/>
        </w:rPr>
        <w:t>_next symposium (</w:t>
      </w:r>
      <w:hyperlink r:id="rId10" w:history="1">
        <w:r w:rsidR="00BA3D78">
          <w:rPr>
            <w:rStyle w:val="Hyperlink"/>
          </w:rPr>
          <w:t>https://biodiversitynext.org</w:t>
        </w:r>
      </w:hyperlink>
      <w:r w:rsidR="00BA3D78">
        <w:t>)</w:t>
      </w:r>
      <w:r w:rsidRPr="004F21F8">
        <w:rPr>
          <w:color w:val="4472C4" w:themeColor="accent1"/>
          <w:sz w:val="24"/>
          <w:szCs w:val="24"/>
        </w:rPr>
        <w:t>, especially in the symposia with reference to MOBILISE</w:t>
      </w:r>
      <w:r w:rsidRPr="00092C89">
        <w:rPr>
          <w:color w:val="4472C4" w:themeColor="accent1"/>
          <w:sz w:val="24"/>
          <w:szCs w:val="24"/>
        </w:rPr>
        <w:t xml:space="preserve">. </w:t>
      </w:r>
      <w:r w:rsidR="00092C89" w:rsidRPr="00092C89">
        <w:rPr>
          <w:color w:val="4472C4" w:themeColor="accent1"/>
          <w:sz w:val="24"/>
          <w:szCs w:val="24"/>
        </w:rPr>
        <w:t xml:space="preserve">An </w:t>
      </w:r>
      <w:r w:rsidR="001603DB">
        <w:rPr>
          <w:color w:val="4472C4" w:themeColor="accent1"/>
          <w:sz w:val="24"/>
          <w:szCs w:val="24"/>
        </w:rPr>
        <w:t xml:space="preserve">informal </w:t>
      </w:r>
      <w:r w:rsidR="00092C89" w:rsidRPr="00092C89">
        <w:rPr>
          <w:color w:val="4472C4" w:themeColor="accent1"/>
          <w:sz w:val="24"/>
          <w:szCs w:val="24"/>
        </w:rPr>
        <w:t xml:space="preserve">meeting </w:t>
      </w:r>
      <w:r w:rsidR="001603DB">
        <w:rPr>
          <w:color w:val="4472C4" w:themeColor="accent1"/>
          <w:sz w:val="24"/>
          <w:szCs w:val="24"/>
        </w:rPr>
        <w:t>of</w:t>
      </w:r>
      <w:r w:rsidR="00092C89" w:rsidRPr="00092C89">
        <w:rPr>
          <w:color w:val="4472C4" w:themeColor="accent1"/>
          <w:sz w:val="24"/>
          <w:szCs w:val="24"/>
        </w:rPr>
        <w:t xml:space="preserve"> the Biodiversity Services and Clients Interest Group of TDWG will be organised during </w:t>
      </w:r>
      <w:r w:rsidR="00BA3D78">
        <w:rPr>
          <w:color w:val="4472C4" w:themeColor="accent1"/>
          <w:sz w:val="24"/>
          <w:szCs w:val="24"/>
        </w:rPr>
        <w:t>b</w:t>
      </w:r>
      <w:r w:rsidR="00BA3D78" w:rsidRPr="004F21F8">
        <w:rPr>
          <w:color w:val="4472C4" w:themeColor="accent1"/>
          <w:sz w:val="24"/>
          <w:szCs w:val="24"/>
        </w:rPr>
        <w:t>iodiversity</w:t>
      </w:r>
      <w:r w:rsidR="00BA3D78">
        <w:rPr>
          <w:color w:val="4472C4" w:themeColor="accent1"/>
          <w:sz w:val="24"/>
          <w:szCs w:val="24"/>
        </w:rPr>
        <w:t>_next</w:t>
      </w:r>
      <w:r w:rsidR="00092C89" w:rsidRPr="00092C89">
        <w:rPr>
          <w:color w:val="4472C4" w:themeColor="accent1"/>
          <w:sz w:val="24"/>
          <w:szCs w:val="24"/>
        </w:rPr>
        <w:t xml:space="preserve"> by Anton </w:t>
      </w:r>
      <w:proofErr w:type="spellStart"/>
      <w:r w:rsidR="00092C89" w:rsidRPr="00092C89">
        <w:rPr>
          <w:color w:val="4472C4" w:themeColor="accent1"/>
          <w:sz w:val="24"/>
          <w:szCs w:val="24"/>
        </w:rPr>
        <w:t>Güntsch</w:t>
      </w:r>
      <w:proofErr w:type="spellEnd"/>
      <w:r w:rsidR="00092C89" w:rsidRPr="00092C89">
        <w:rPr>
          <w:color w:val="4472C4" w:themeColor="accent1"/>
          <w:sz w:val="24"/>
          <w:szCs w:val="24"/>
        </w:rPr>
        <w:t xml:space="preserve"> to align Mobilise/DiSSCo activities with the </w:t>
      </w:r>
      <w:r w:rsidR="00827301">
        <w:rPr>
          <w:color w:val="4472C4" w:themeColor="accent1"/>
          <w:sz w:val="24"/>
          <w:szCs w:val="24"/>
        </w:rPr>
        <w:t>Biodiversity Services and Clients (</w:t>
      </w:r>
      <w:commentRangeStart w:id="1"/>
      <w:r w:rsidR="00092C89" w:rsidRPr="00092C89">
        <w:rPr>
          <w:color w:val="4472C4" w:themeColor="accent1"/>
          <w:sz w:val="24"/>
          <w:szCs w:val="24"/>
        </w:rPr>
        <w:t>BSC</w:t>
      </w:r>
      <w:r w:rsidR="00827301">
        <w:rPr>
          <w:color w:val="4472C4" w:themeColor="accent1"/>
          <w:sz w:val="24"/>
          <w:szCs w:val="24"/>
        </w:rPr>
        <w:t>)</w:t>
      </w:r>
      <w:r w:rsidR="00092C89" w:rsidRPr="00092C89">
        <w:rPr>
          <w:color w:val="4472C4" w:themeColor="accent1"/>
          <w:sz w:val="24"/>
          <w:szCs w:val="24"/>
        </w:rPr>
        <w:t xml:space="preserve"> I</w:t>
      </w:r>
      <w:r w:rsidR="00827301">
        <w:rPr>
          <w:color w:val="4472C4" w:themeColor="accent1"/>
          <w:sz w:val="24"/>
          <w:szCs w:val="24"/>
        </w:rPr>
        <w:t xml:space="preserve">nterest </w:t>
      </w:r>
      <w:r w:rsidR="00092C89" w:rsidRPr="00092C89">
        <w:rPr>
          <w:color w:val="4472C4" w:themeColor="accent1"/>
          <w:sz w:val="24"/>
          <w:szCs w:val="24"/>
        </w:rPr>
        <w:t>G</w:t>
      </w:r>
      <w:commentRangeEnd w:id="1"/>
      <w:r w:rsidR="000F7E89">
        <w:rPr>
          <w:rStyle w:val="CommentReference"/>
        </w:rPr>
        <w:commentReference w:id="1"/>
      </w:r>
      <w:r w:rsidR="00827301">
        <w:rPr>
          <w:color w:val="4472C4" w:themeColor="accent1"/>
          <w:sz w:val="24"/>
          <w:szCs w:val="24"/>
        </w:rPr>
        <w:t>roup</w:t>
      </w:r>
      <w:r w:rsidR="00092C89" w:rsidRPr="00092C89">
        <w:rPr>
          <w:color w:val="4472C4" w:themeColor="accent1"/>
          <w:sz w:val="24"/>
          <w:szCs w:val="24"/>
        </w:rPr>
        <w:t>.</w:t>
      </w:r>
    </w:p>
    <w:p w14:paraId="4D04758E" w14:textId="77777777" w:rsidR="0098684F" w:rsidRDefault="0098684F" w:rsidP="004F21F8">
      <w:pPr>
        <w:pStyle w:val="ListParagraph"/>
        <w:numPr>
          <w:ilvl w:val="0"/>
          <w:numId w:val="7"/>
        </w:numPr>
        <w:rPr>
          <w:sz w:val="24"/>
          <w:szCs w:val="24"/>
        </w:rPr>
      </w:pPr>
      <w:r w:rsidRPr="004F21F8">
        <w:rPr>
          <w:sz w:val="24"/>
          <w:szCs w:val="24"/>
        </w:rPr>
        <w:lastRenderedPageBreak/>
        <w:t>Others</w:t>
      </w:r>
    </w:p>
    <w:p w14:paraId="3F1E97DC" w14:textId="77777777" w:rsidR="00A10CC0" w:rsidRDefault="0086774B" w:rsidP="00A10CC0">
      <w:pPr>
        <w:rPr>
          <w:sz w:val="24"/>
          <w:szCs w:val="24"/>
        </w:rPr>
      </w:pPr>
      <w:r w:rsidRPr="00092C89">
        <w:rPr>
          <w:color w:val="4472C4" w:themeColor="accent1"/>
          <w:sz w:val="24"/>
          <w:szCs w:val="24"/>
        </w:rPr>
        <w:t xml:space="preserve">The workshop also addressed work and activities beyond year 2. The task was to structure the broad field of data management in general. Especially, topics related to policy issues will have to be addressed in the further course of the Action. Policy issues </w:t>
      </w:r>
      <w:proofErr w:type="gramStart"/>
      <w:r w:rsidRPr="00092C89">
        <w:rPr>
          <w:color w:val="4472C4" w:themeColor="accent1"/>
          <w:sz w:val="24"/>
          <w:szCs w:val="24"/>
        </w:rPr>
        <w:t>have to</w:t>
      </w:r>
      <w:proofErr w:type="gramEnd"/>
      <w:r w:rsidRPr="00092C89">
        <w:rPr>
          <w:color w:val="4472C4" w:themeColor="accent1"/>
          <w:sz w:val="24"/>
          <w:szCs w:val="24"/>
        </w:rPr>
        <w:t xml:space="preserve"> be reflected in all steps of data management. A policy graph </w:t>
      </w:r>
      <w:proofErr w:type="gramStart"/>
      <w:r w:rsidR="0085455E" w:rsidRPr="00092C89">
        <w:rPr>
          <w:color w:val="4472C4" w:themeColor="accent1"/>
          <w:sz w:val="24"/>
          <w:szCs w:val="24"/>
        </w:rPr>
        <w:t>has to</w:t>
      </w:r>
      <w:proofErr w:type="gramEnd"/>
      <w:r w:rsidR="0085455E" w:rsidRPr="00092C89">
        <w:rPr>
          <w:color w:val="4472C4" w:themeColor="accent1"/>
          <w:sz w:val="24"/>
          <w:szCs w:val="24"/>
        </w:rPr>
        <w:t xml:space="preserve"> be established </w:t>
      </w:r>
      <w:r w:rsidR="00092C89" w:rsidRPr="00092C89">
        <w:rPr>
          <w:color w:val="4472C4" w:themeColor="accent1"/>
          <w:sz w:val="24"/>
          <w:szCs w:val="24"/>
        </w:rPr>
        <w:t xml:space="preserve">for DiSSCo and will also be part of DiSSCo Prepare </w:t>
      </w:r>
      <w:r w:rsidR="0085455E" w:rsidRPr="00092C89">
        <w:rPr>
          <w:color w:val="4472C4" w:themeColor="accent1"/>
          <w:sz w:val="24"/>
          <w:szCs w:val="24"/>
        </w:rPr>
        <w:t>(</w:t>
      </w:r>
      <w:proofErr w:type="spellStart"/>
      <w:r w:rsidR="0085455E" w:rsidRPr="00092C89">
        <w:rPr>
          <w:color w:val="4472C4" w:themeColor="accent1"/>
          <w:sz w:val="24"/>
          <w:szCs w:val="24"/>
        </w:rPr>
        <w:t>i</w:t>
      </w:r>
      <w:proofErr w:type="spellEnd"/>
      <w:r w:rsidR="0085455E" w:rsidRPr="00092C89">
        <w:rPr>
          <w:color w:val="4472C4" w:themeColor="accent1"/>
          <w:sz w:val="24"/>
          <w:szCs w:val="24"/>
        </w:rPr>
        <w:t xml:space="preserve">. e. lining policy components to activities and services, </w:t>
      </w:r>
      <w:r w:rsidRPr="00092C89">
        <w:rPr>
          <w:color w:val="4472C4" w:themeColor="accent1"/>
          <w:sz w:val="24"/>
          <w:szCs w:val="24"/>
        </w:rPr>
        <w:t>discussed in breakout group 1</w:t>
      </w:r>
      <w:r w:rsidR="0085455E" w:rsidRPr="00092C89">
        <w:rPr>
          <w:color w:val="4472C4" w:themeColor="accent1"/>
          <w:sz w:val="24"/>
          <w:szCs w:val="24"/>
        </w:rPr>
        <w:t>).</w:t>
      </w:r>
    </w:p>
    <w:p w14:paraId="13B4B382" w14:textId="77777777" w:rsidR="0098684F" w:rsidRPr="00A10CC0" w:rsidRDefault="0098684F" w:rsidP="00A10CC0">
      <w:pPr>
        <w:pStyle w:val="ListParagraph"/>
        <w:numPr>
          <w:ilvl w:val="0"/>
          <w:numId w:val="1"/>
        </w:numPr>
        <w:rPr>
          <w:sz w:val="24"/>
          <w:szCs w:val="24"/>
        </w:rPr>
      </w:pPr>
      <w:r w:rsidRPr="00A10CC0">
        <w:rPr>
          <w:sz w:val="24"/>
          <w:szCs w:val="24"/>
        </w:rPr>
        <w:t xml:space="preserve">Major outcomes </w:t>
      </w:r>
      <w:r w:rsidR="00F410C2" w:rsidRPr="00A10CC0">
        <w:rPr>
          <w:sz w:val="24"/>
          <w:szCs w:val="24"/>
        </w:rPr>
        <w:t>(also see A</w:t>
      </w:r>
      <w:r w:rsidR="000336B5" w:rsidRPr="00A10CC0">
        <w:rPr>
          <w:sz w:val="24"/>
          <w:szCs w:val="24"/>
        </w:rPr>
        <w:t>nne</w:t>
      </w:r>
      <w:r w:rsidR="00F410C2" w:rsidRPr="00A10CC0">
        <w:rPr>
          <w:sz w:val="24"/>
          <w:szCs w:val="24"/>
        </w:rPr>
        <w:t>x)</w:t>
      </w:r>
    </w:p>
    <w:p w14:paraId="16573AE0" w14:textId="77777777" w:rsidR="00F410C2" w:rsidRPr="001F49EA" w:rsidRDefault="00F410C2" w:rsidP="001F49EA">
      <w:pPr>
        <w:pStyle w:val="ListParagraph"/>
        <w:numPr>
          <w:ilvl w:val="0"/>
          <w:numId w:val="9"/>
        </w:numPr>
        <w:rPr>
          <w:color w:val="4472C4" w:themeColor="accent1"/>
          <w:sz w:val="24"/>
          <w:szCs w:val="24"/>
        </w:rPr>
      </w:pPr>
      <w:r w:rsidRPr="001F49EA">
        <w:rPr>
          <w:color w:val="4472C4" w:themeColor="accent1"/>
          <w:sz w:val="24"/>
          <w:szCs w:val="24"/>
        </w:rPr>
        <w:t>A list of experts with specification of their expertise and interests</w:t>
      </w:r>
    </w:p>
    <w:p w14:paraId="2B7A6324" w14:textId="77777777" w:rsidR="00F410C2" w:rsidRPr="001F49EA" w:rsidRDefault="00F410C2" w:rsidP="001F49EA">
      <w:pPr>
        <w:pStyle w:val="ListParagraph"/>
        <w:numPr>
          <w:ilvl w:val="0"/>
          <w:numId w:val="9"/>
        </w:numPr>
        <w:rPr>
          <w:color w:val="4472C4" w:themeColor="accent1"/>
          <w:sz w:val="24"/>
          <w:szCs w:val="24"/>
        </w:rPr>
      </w:pPr>
      <w:r w:rsidRPr="001F49EA">
        <w:rPr>
          <w:color w:val="4472C4" w:themeColor="accent1"/>
          <w:sz w:val="24"/>
          <w:szCs w:val="24"/>
        </w:rPr>
        <w:t>An analysis of gaps and challenges in the landscape of standards and services (to be continued)</w:t>
      </w:r>
    </w:p>
    <w:p w14:paraId="113A25A9" w14:textId="77777777" w:rsidR="00F410C2" w:rsidRPr="001F49EA" w:rsidRDefault="00F410C2" w:rsidP="001F49EA">
      <w:pPr>
        <w:pStyle w:val="ListParagraph"/>
        <w:numPr>
          <w:ilvl w:val="0"/>
          <w:numId w:val="9"/>
        </w:numPr>
        <w:rPr>
          <w:color w:val="4472C4" w:themeColor="accent1"/>
          <w:sz w:val="24"/>
          <w:szCs w:val="24"/>
        </w:rPr>
      </w:pPr>
      <w:r w:rsidRPr="001F49EA">
        <w:rPr>
          <w:color w:val="4472C4" w:themeColor="accent1"/>
          <w:sz w:val="24"/>
          <w:szCs w:val="24"/>
        </w:rPr>
        <w:t>A list of concrete action points and activities for the coming years of MOBILISE</w:t>
      </w:r>
    </w:p>
    <w:p w14:paraId="7EC3861A" w14:textId="77777777" w:rsidR="00A10CC0" w:rsidRPr="001F49EA" w:rsidRDefault="00F410C2" w:rsidP="001F49EA">
      <w:pPr>
        <w:pStyle w:val="ListParagraph"/>
        <w:numPr>
          <w:ilvl w:val="0"/>
          <w:numId w:val="9"/>
        </w:numPr>
        <w:rPr>
          <w:color w:val="4472C4" w:themeColor="accent1"/>
          <w:sz w:val="24"/>
          <w:szCs w:val="24"/>
        </w:rPr>
      </w:pPr>
      <w:r w:rsidRPr="001F49EA">
        <w:rPr>
          <w:color w:val="4472C4" w:themeColor="accent1"/>
          <w:sz w:val="24"/>
          <w:szCs w:val="24"/>
        </w:rPr>
        <w:t>Ideas for concrete products to be generated out of MOBILISE and related activities within and beyond DiSSCo</w:t>
      </w:r>
    </w:p>
    <w:p w14:paraId="2DFC9F1D" w14:textId="77777777" w:rsidR="00A10CC0" w:rsidRDefault="0098684F" w:rsidP="00A10CC0">
      <w:pPr>
        <w:pStyle w:val="ListParagraph"/>
        <w:numPr>
          <w:ilvl w:val="0"/>
          <w:numId w:val="1"/>
        </w:numPr>
        <w:rPr>
          <w:sz w:val="24"/>
          <w:szCs w:val="24"/>
        </w:rPr>
      </w:pPr>
      <w:r w:rsidRPr="00A10CC0">
        <w:rPr>
          <w:sz w:val="24"/>
          <w:szCs w:val="24"/>
        </w:rPr>
        <w:t>Challenges faced for Y2</w:t>
      </w:r>
    </w:p>
    <w:p w14:paraId="4F70E530" w14:textId="77777777" w:rsidR="005E78F4" w:rsidRPr="005E78F4" w:rsidRDefault="005E78F4" w:rsidP="005E78F4">
      <w:pPr>
        <w:ind w:left="-567"/>
        <w:rPr>
          <w:sz w:val="24"/>
          <w:szCs w:val="24"/>
        </w:rPr>
      </w:pPr>
      <w:r w:rsidRPr="00840732">
        <w:rPr>
          <w:color w:val="4472C4" w:themeColor="accent1"/>
          <w:sz w:val="24"/>
          <w:szCs w:val="24"/>
        </w:rPr>
        <w:t xml:space="preserve">To use funds as efficiently as possible to achieve impact and to be excellent and inclusive at the same time. There are many established experts in the field who are indispensable </w:t>
      </w:r>
      <w:r w:rsidR="00B3665E">
        <w:rPr>
          <w:color w:val="4472C4" w:themeColor="accent1"/>
          <w:sz w:val="24"/>
          <w:szCs w:val="24"/>
        </w:rPr>
        <w:t>for</w:t>
      </w:r>
      <w:r w:rsidRPr="00840732">
        <w:rPr>
          <w:color w:val="4472C4" w:themeColor="accent1"/>
          <w:sz w:val="24"/>
          <w:szCs w:val="24"/>
        </w:rPr>
        <w:t xml:space="preserve"> developing the concepts needed for DiSSCo, but it is equally important to include young scientists and people from as many collections as possible </w:t>
      </w:r>
      <w:r w:rsidR="00840732" w:rsidRPr="00840732">
        <w:rPr>
          <w:color w:val="4472C4" w:themeColor="accent1"/>
          <w:sz w:val="24"/>
          <w:szCs w:val="24"/>
        </w:rPr>
        <w:t>to keep the flow of ideas and expertise alive within the wider community (and in all directions). It is therefore advisable to concentrate activities.</w:t>
      </w:r>
    </w:p>
    <w:p w14:paraId="3915517B" w14:textId="77777777" w:rsidR="004C04AE" w:rsidRDefault="0098684F" w:rsidP="00A10CC0">
      <w:pPr>
        <w:pStyle w:val="ListParagraph"/>
        <w:numPr>
          <w:ilvl w:val="0"/>
          <w:numId w:val="1"/>
        </w:numPr>
        <w:rPr>
          <w:sz w:val="24"/>
          <w:szCs w:val="24"/>
        </w:rPr>
      </w:pPr>
      <w:r w:rsidRPr="00A10CC0">
        <w:rPr>
          <w:sz w:val="24"/>
          <w:szCs w:val="24"/>
        </w:rPr>
        <w:t xml:space="preserve">Next steps </w:t>
      </w:r>
    </w:p>
    <w:p w14:paraId="01E3BCDF" w14:textId="77777777" w:rsidR="00B3665E" w:rsidRDefault="00584BBD" w:rsidP="00B3665E">
      <w:pPr>
        <w:ind w:left="-567"/>
        <w:rPr>
          <w:color w:val="4472C4" w:themeColor="accent1"/>
          <w:sz w:val="24"/>
          <w:szCs w:val="24"/>
        </w:rPr>
      </w:pPr>
      <w:r>
        <w:rPr>
          <w:color w:val="4472C4" w:themeColor="accent1"/>
          <w:sz w:val="24"/>
          <w:szCs w:val="24"/>
        </w:rPr>
        <w:t>Organise community (</w:t>
      </w:r>
      <w:r w:rsidRPr="001F49EA">
        <w:rPr>
          <w:i/>
          <w:color w:val="4472C4" w:themeColor="accent1"/>
          <w:sz w:val="24"/>
          <w:szCs w:val="24"/>
        </w:rPr>
        <w:t>via</w:t>
      </w:r>
      <w:r>
        <w:rPr>
          <w:color w:val="4472C4" w:themeColor="accent1"/>
          <w:sz w:val="24"/>
          <w:szCs w:val="24"/>
        </w:rPr>
        <w:t xml:space="preserve"> Open Science Framework</w:t>
      </w:r>
      <w:r w:rsidR="00BA3D78">
        <w:rPr>
          <w:color w:val="4472C4" w:themeColor="accent1"/>
          <w:sz w:val="24"/>
          <w:szCs w:val="24"/>
        </w:rPr>
        <w:t xml:space="preserve">, </w:t>
      </w:r>
      <w:hyperlink r:id="rId14" w:history="1">
        <w:r w:rsidR="00BA3D78">
          <w:rPr>
            <w:rStyle w:val="Hyperlink"/>
          </w:rPr>
          <w:t>https://osf.io/j6psx/</w:t>
        </w:r>
      </w:hyperlink>
      <w:r>
        <w:rPr>
          <w:color w:val="4472C4" w:themeColor="accent1"/>
          <w:sz w:val="24"/>
          <w:szCs w:val="24"/>
        </w:rPr>
        <w:t>)</w:t>
      </w:r>
    </w:p>
    <w:p w14:paraId="18D15AAE" w14:textId="77777777" w:rsidR="00584BBD" w:rsidRDefault="00584BBD" w:rsidP="00B3665E">
      <w:pPr>
        <w:ind w:left="-567"/>
        <w:rPr>
          <w:color w:val="4472C4" w:themeColor="accent1"/>
          <w:sz w:val="24"/>
          <w:szCs w:val="24"/>
        </w:rPr>
      </w:pPr>
      <w:r>
        <w:rPr>
          <w:color w:val="4472C4" w:themeColor="accent1"/>
          <w:sz w:val="24"/>
          <w:szCs w:val="24"/>
        </w:rPr>
        <w:t>Determine Y2 program</w:t>
      </w:r>
    </w:p>
    <w:p w14:paraId="32908A60" w14:textId="77777777" w:rsidR="00584BBD" w:rsidRDefault="00584BBD" w:rsidP="00B3665E">
      <w:pPr>
        <w:ind w:left="-567"/>
        <w:rPr>
          <w:color w:val="4472C4" w:themeColor="accent1"/>
          <w:sz w:val="24"/>
          <w:szCs w:val="24"/>
        </w:rPr>
      </w:pPr>
      <w:r>
        <w:rPr>
          <w:color w:val="4472C4" w:themeColor="accent1"/>
          <w:sz w:val="24"/>
          <w:szCs w:val="24"/>
        </w:rPr>
        <w:t>Work on standards landscape analysis (deliverable)</w:t>
      </w:r>
      <w:r w:rsidR="007771D6">
        <w:rPr>
          <w:color w:val="4472C4" w:themeColor="accent1"/>
          <w:sz w:val="24"/>
          <w:szCs w:val="24"/>
        </w:rPr>
        <w:t xml:space="preserve">, use </w:t>
      </w:r>
      <w:proofErr w:type="spellStart"/>
      <w:r w:rsidR="007771D6" w:rsidRPr="007771D6">
        <w:rPr>
          <w:color w:val="4472C4" w:themeColor="accent1"/>
          <w:sz w:val="24"/>
          <w:szCs w:val="24"/>
        </w:rPr>
        <w:t>FAIRsharing</w:t>
      </w:r>
      <w:proofErr w:type="spellEnd"/>
      <w:r w:rsidR="007771D6">
        <w:rPr>
          <w:color w:val="4472C4" w:themeColor="accent1"/>
          <w:sz w:val="24"/>
          <w:szCs w:val="24"/>
        </w:rPr>
        <w:t>,</w:t>
      </w:r>
      <w:r w:rsidR="007771D6" w:rsidRPr="007771D6">
        <w:rPr>
          <w:color w:val="4472C4" w:themeColor="accent1"/>
          <w:sz w:val="24"/>
          <w:szCs w:val="24"/>
        </w:rPr>
        <w:t xml:space="preserve"> </w:t>
      </w:r>
      <w:hyperlink r:id="rId15" w:history="1">
        <w:r w:rsidR="007771D6" w:rsidRPr="00031D43">
          <w:rPr>
            <w:rStyle w:val="Hyperlink"/>
            <w:sz w:val="24"/>
            <w:szCs w:val="24"/>
          </w:rPr>
          <w:t>https://fairsharing.org</w:t>
        </w:r>
      </w:hyperlink>
      <w:r w:rsidR="007771D6" w:rsidRPr="007771D6">
        <w:rPr>
          <w:color w:val="4472C4" w:themeColor="accent1"/>
          <w:sz w:val="24"/>
          <w:szCs w:val="24"/>
        </w:rPr>
        <w:t xml:space="preserve"> </w:t>
      </w:r>
      <w:r w:rsidR="007771D6">
        <w:rPr>
          <w:color w:val="4472C4" w:themeColor="accent1"/>
          <w:sz w:val="24"/>
          <w:szCs w:val="24"/>
        </w:rPr>
        <w:t>to compile the landscape analysis from a services perspective.</w:t>
      </w:r>
    </w:p>
    <w:p w14:paraId="6E194217" w14:textId="77777777" w:rsidR="00584BBD" w:rsidRDefault="006B0180" w:rsidP="00B3665E">
      <w:pPr>
        <w:ind w:left="-567"/>
        <w:rPr>
          <w:color w:val="4472C4" w:themeColor="accent1"/>
          <w:sz w:val="24"/>
          <w:szCs w:val="24"/>
        </w:rPr>
      </w:pPr>
      <w:r>
        <w:rPr>
          <w:color w:val="4472C4" w:themeColor="accent1"/>
          <w:sz w:val="24"/>
          <w:szCs w:val="24"/>
        </w:rPr>
        <w:t>Discuss and build community consensus in a few</w:t>
      </w:r>
      <w:r w:rsidR="00584BBD">
        <w:rPr>
          <w:color w:val="4472C4" w:themeColor="accent1"/>
          <w:sz w:val="24"/>
          <w:szCs w:val="24"/>
        </w:rPr>
        <w:t xml:space="preserve"> concrete topics (</w:t>
      </w:r>
      <w:r w:rsidR="007771D6">
        <w:rPr>
          <w:color w:val="4472C4" w:themeColor="accent1"/>
          <w:sz w:val="24"/>
          <w:szCs w:val="24"/>
        </w:rPr>
        <w:t xml:space="preserve">e.g. </w:t>
      </w:r>
      <w:r w:rsidR="00584BBD">
        <w:rPr>
          <w:color w:val="4472C4" w:themeColor="accent1"/>
          <w:sz w:val="24"/>
          <w:szCs w:val="24"/>
        </w:rPr>
        <w:t xml:space="preserve">linking biodiversity data openly, </w:t>
      </w:r>
      <w:r>
        <w:rPr>
          <w:color w:val="4472C4" w:themeColor="accent1"/>
          <w:sz w:val="24"/>
          <w:szCs w:val="24"/>
        </w:rPr>
        <w:t>Open DS specification</w:t>
      </w:r>
      <w:r w:rsidR="00584BBD">
        <w:rPr>
          <w:color w:val="4472C4" w:themeColor="accent1"/>
          <w:sz w:val="24"/>
          <w:szCs w:val="24"/>
        </w:rPr>
        <w:t xml:space="preserve">, </w:t>
      </w:r>
      <w:r w:rsidR="007771D6">
        <w:rPr>
          <w:color w:val="4472C4" w:themeColor="accent1"/>
          <w:sz w:val="24"/>
          <w:szCs w:val="24"/>
        </w:rPr>
        <w:t>Access and Benefit Sharing</w:t>
      </w:r>
      <w:r w:rsidR="00584BBD">
        <w:rPr>
          <w:color w:val="4472C4" w:themeColor="accent1"/>
          <w:sz w:val="24"/>
          <w:szCs w:val="24"/>
        </w:rPr>
        <w:t>)</w:t>
      </w:r>
      <w:r w:rsidR="007771D6">
        <w:rPr>
          <w:color w:val="4472C4" w:themeColor="accent1"/>
          <w:sz w:val="24"/>
          <w:szCs w:val="24"/>
        </w:rPr>
        <w:t>.</w:t>
      </w:r>
    </w:p>
    <w:p w14:paraId="5A09558E" w14:textId="77777777" w:rsidR="004C04AE" w:rsidRPr="004C04AE" w:rsidRDefault="004C04AE" w:rsidP="004C04AE">
      <w:pPr>
        <w:ind w:left="-567"/>
        <w:rPr>
          <w:sz w:val="24"/>
          <w:szCs w:val="24"/>
        </w:rPr>
      </w:pPr>
      <w:r w:rsidRPr="004C04AE">
        <w:rPr>
          <w:sz w:val="24"/>
          <w:szCs w:val="24"/>
        </w:rPr>
        <w:t>ANNEXES:</w:t>
      </w:r>
    </w:p>
    <w:p w14:paraId="33240353" w14:textId="77777777" w:rsidR="004C04AE" w:rsidRDefault="004C04AE" w:rsidP="004C04AE">
      <w:pPr>
        <w:pStyle w:val="ListParagraph"/>
        <w:numPr>
          <w:ilvl w:val="0"/>
          <w:numId w:val="4"/>
        </w:numPr>
        <w:ind w:left="-142" w:hanging="425"/>
        <w:rPr>
          <w:sz w:val="24"/>
          <w:szCs w:val="24"/>
        </w:rPr>
      </w:pPr>
      <w:r>
        <w:rPr>
          <w:sz w:val="24"/>
          <w:szCs w:val="24"/>
        </w:rPr>
        <w:t>List of Participants: Participants name, affiliation, expertise, contact</w:t>
      </w:r>
    </w:p>
    <w:p w14:paraId="07A05FB9" w14:textId="77777777" w:rsidR="004C04AE" w:rsidRDefault="004C04AE" w:rsidP="004C04AE">
      <w:pPr>
        <w:pStyle w:val="ListParagraph"/>
        <w:numPr>
          <w:ilvl w:val="0"/>
          <w:numId w:val="4"/>
        </w:numPr>
        <w:ind w:left="-142" w:hanging="425"/>
        <w:rPr>
          <w:sz w:val="24"/>
          <w:szCs w:val="24"/>
        </w:rPr>
      </w:pPr>
      <w:r>
        <w:rPr>
          <w:sz w:val="24"/>
          <w:szCs w:val="24"/>
        </w:rPr>
        <w:t>Extended Report</w:t>
      </w:r>
    </w:p>
    <w:p w14:paraId="2E84E425" w14:textId="77777777" w:rsidR="004C04AE" w:rsidRPr="004C04AE" w:rsidRDefault="004C04AE" w:rsidP="004C04AE">
      <w:pPr>
        <w:pStyle w:val="ListParagraph"/>
        <w:numPr>
          <w:ilvl w:val="0"/>
          <w:numId w:val="4"/>
        </w:numPr>
        <w:ind w:left="-142" w:hanging="425"/>
        <w:rPr>
          <w:sz w:val="24"/>
          <w:szCs w:val="24"/>
        </w:rPr>
      </w:pPr>
      <w:r>
        <w:rPr>
          <w:sz w:val="24"/>
          <w:szCs w:val="24"/>
        </w:rPr>
        <w:t>Other material</w:t>
      </w:r>
    </w:p>
    <w:p w14:paraId="3B31322A" w14:textId="77777777" w:rsidR="0098684F" w:rsidRPr="0098684F" w:rsidRDefault="0098684F" w:rsidP="0098684F">
      <w:pPr>
        <w:pStyle w:val="ListParagraph"/>
        <w:ind w:left="-207"/>
        <w:rPr>
          <w:sz w:val="24"/>
          <w:szCs w:val="24"/>
        </w:rPr>
      </w:pPr>
    </w:p>
    <w:sectPr w:rsidR="0098684F" w:rsidRPr="0098684F">
      <w:footerReference w:type="default" r:id="rId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ergen  Patricia" w:date="2019-04-07T18:35:00Z" w:initials="MP">
    <w:p w14:paraId="6B2A60B6" w14:textId="77777777" w:rsidR="000F7E89" w:rsidRDefault="000F7E89">
      <w:pPr>
        <w:pStyle w:val="CommentText"/>
      </w:pPr>
      <w:r>
        <w:rPr>
          <w:rStyle w:val="CommentReference"/>
        </w:rPr>
        <w:annotationRef/>
      </w:r>
      <w:r>
        <w:t xml:space="preserve">Expand, what it </w:t>
      </w:r>
      <w:proofErr w:type="gramStart"/>
      <w:r>
        <w:t>is ?</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2A60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2A60B6" w16cid:durableId="2069A3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E03AB" w14:textId="77777777" w:rsidR="006860DF" w:rsidRDefault="006860DF" w:rsidP="0098684F">
      <w:pPr>
        <w:spacing w:after="0" w:line="240" w:lineRule="auto"/>
      </w:pPr>
      <w:r>
        <w:separator/>
      </w:r>
    </w:p>
  </w:endnote>
  <w:endnote w:type="continuationSeparator" w:id="0">
    <w:p w14:paraId="60DC1F4C" w14:textId="77777777" w:rsidR="006860DF" w:rsidRDefault="006860DF" w:rsidP="00986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8BC2D" w14:textId="77777777" w:rsidR="0098684F" w:rsidRPr="004C04AE" w:rsidRDefault="004C04AE" w:rsidP="0017531B">
    <w:pPr>
      <w:ind w:left="-567"/>
      <w:rPr>
        <w:lang w:val="en-US"/>
      </w:rPr>
    </w:pPr>
    <w:r w:rsidRPr="004C04AE">
      <w:rPr>
        <w:b/>
        <w:color w:val="1F3864" w:themeColor="accent1" w:themeShade="80"/>
        <w:lang w:val="en-US"/>
      </w:rPr>
      <w:t xml:space="preserve">MOBILISE </w:t>
    </w:r>
    <w:proofErr w:type="spellStart"/>
    <w:r w:rsidRPr="004C04AE">
      <w:rPr>
        <w:b/>
        <w:color w:val="1F3864" w:themeColor="accent1" w:themeShade="80"/>
        <w:lang w:val="en-US"/>
      </w:rPr>
      <w:t>WG</w:t>
    </w:r>
    <w:r>
      <w:rPr>
        <w:b/>
        <w:color w:val="1F3864" w:themeColor="accent1" w:themeShade="80"/>
        <w:lang w:val="en-US"/>
      </w:rPr>
      <w:t>x</w:t>
    </w:r>
    <w:proofErr w:type="spellEnd"/>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Summary Report – Page </w:t>
    </w:r>
    <w:r w:rsidRPr="004C04AE">
      <w:rPr>
        <w:lang w:val="en-US"/>
      </w:rPr>
      <w:fldChar w:fldCharType="begin"/>
    </w:r>
    <w:r w:rsidRPr="004C04AE">
      <w:rPr>
        <w:lang w:val="en-US"/>
      </w:rPr>
      <w:instrText xml:space="preserve"> PAGE   \* MERGEFORMAT </w:instrText>
    </w:r>
    <w:r w:rsidRPr="004C04AE">
      <w:rPr>
        <w:lang w:val="en-US"/>
      </w:rPr>
      <w:fldChar w:fldCharType="separate"/>
    </w:r>
    <w:r w:rsidR="007771D6">
      <w:rPr>
        <w:noProof/>
        <w:lang w:val="en-US"/>
      </w:rPr>
      <w:t>3</w:t>
    </w:r>
    <w:r w:rsidRPr="004C04AE">
      <w:rPr>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8F6FB" w14:textId="77777777" w:rsidR="006860DF" w:rsidRDefault="006860DF" w:rsidP="0098684F">
      <w:pPr>
        <w:spacing w:after="0" w:line="240" w:lineRule="auto"/>
      </w:pPr>
      <w:r>
        <w:separator/>
      </w:r>
    </w:p>
  </w:footnote>
  <w:footnote w:type="continuationSeparator" w:id="0">
    <w:p w14:paraId="43FAE028" w14:textId="77777777" w:rsidR="006860DF" w:rsidRDefault="006860DF" w:rsidP="009868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618B6"/>
    <w:multiLevelType w:val="hybridMultilevel"/>
    <w:tmpl w:val="6B68E690"/>
    <w:lvl w:ilvl="0" w:tplc="087A6F2E">
      <w:start w:val="4"/>
      <w:numFmt w:val="bullet"/>
      <w:lvlText w:val="-"/>
      <w:lvlJc w:val="left"/>
      <w:pPr>
        <w:ind w:left="153" w:hanging="360"/>
      </w:pPr>
      <w:rPr>
        <w:rFonts w:ascii="Calibri" w:eastAsiaTheme="minorHAnsi" w:hAnsi="Calibri" w:cs="Calibri"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15:restartNumberingAfterBreak="0">
    <w:nsid w:val="21D17FE0"/>
    <w:multiLevelType w:val="hybridMultilevel"/>
    <w:tmpl w:val="0D781F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195DD3"/>
    <w:multiLevelType w:val="hybridMultilevel"/>
    <w:tmpl w:val="FBFA4B9A"/>
    <w:lvl w:ilvl="0" w:tplc="D53864BE">
      <w:start w:val="1"/>
      <w:numFmt w:val="bullet"/>
      <w:lvlText w:val="-"/>
      <w:lvlJc w:val="left"/>
      <w:pPr>
        <w:ind w:left="578" w:hanging="360"/>
      </w:pPr>
      <w:rPr>
        <w:rFonts w:ascii="Arial" w:hAnsi="Aria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3" w15:restartNumberingAfterBreak="0">
    <w:nsid w:val="3038179D"/>
    <w:multiLevelType w:val="hybridMultilevel"/>
    <w:tmpl w:val="F4A2A23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6EA6582"/>
    <w:multiLevelType w:val="hybridMultilevel"/>
    <w:tmpl w:val="FEA6AFD4"/>
    <w:lvl w:ilvl="0" w:tplc="376231A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1E7205"/>
    <w:multiLevelType w:val="hybridMultilevel"/>
    <w:tmpl w:val="C0BEE7D2"/>
    <w:lvl w:ilvl="0" w:tplc="87EA91E0">
      <w:start w:val="1"/>
      <w:numFmt w:val="decimal"/>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6" w15:restartNumberingAfterBreak="0">
    <w:nsid w:val="6E434FC1"/>
    <w:multiLevelType w:val="hybridMultilevel"/>
    <w:tmpl w:val="B2364E4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7" w15:restartNumberingAfterBreak="0">
    <w:nsid w:val="71D72036"/>
    <w:multiLevelType w:val="hybridMultilevel"/>
    <w:tmpl w:val="ACB2D07C"/>
    <w:lvl w:ilvl="0" w:tplc="087A6F2E">
      <w:start w:val="4"/>
      <w:numFmt w:val="bullet"/>
      <w:lvlText w:val="-"/>
      <w:lvlJc w:val="left"/>
      <w:pPr>
        <w:ind w:left="153" w:hanging="360"/>
      </w:pPr>
      <w:rPr>
        <w:rFonts w:ascii="Calibri" w:eastAsiaTheme="minorHAnsi" w:hAnsi="Calibri" w:cs="Calibri"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77F65C7B"/>
    <w:multiLevelType w:val="hybridMultilevel"/>
    <w:tmpl w:val="0D9C5C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1"/>
  </w:num>
  <w:num w:numId="5">
    <w:abstractNumId w:val="2"/>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xNDcwtzA1M7I0NTdX0lEKTi0uzszPAykwrAUAEc4vVCwAAAA="/>
  </w:docVars>
  <w:rsids>
    <w:rsidRoot w:val="0098684F"/>
    <w:rsid w:val="000057A2"/>
    <w:rsid w:val="000336B5"/>
    <w:rsid w:val="0004151F"/>
    <w:rsid w:val="00092C89"/>
    <w:rsid w:val="000D32B2"/>
    <w:rsid w:val="000F7E89"/>
    <w:rsid w:val="001251A0"/>
    <w:rsid w:val="001603DB"/>
    <w:rsid w:val="00172AD6"/>
    <w:rsid w:val="0017531B"/>
    <w:rsid w:val="001B3B45"/>
    <w:rsid w:val="001F49EA"/>
    <w:rsid w:val="0034268E"/>
    <w:rsid w:val="004C04AE"/>
    <w:rsid w:val="004F21F8"/>
    <w:rsid w:val="00536670"/>
    <w:rsid w:val="0055352A"/>
    <w:rsid w:val="00584BBD"/>
    <w:rsid w:val="005E78F4"/>
    <w:rsid w:val="00633A2D"/>
    <w:rsid w:val="006365EE"/>
    <w:rsid w:val="006860DF"/>
    <w:rsid w:val="006B0180"/>
    <w:rsid w:val="006B11FB"/>
    <w:rsid w:val="006E6F9C"/>
    <w:rsid w:val="007037BB"/>
    <w:rsid w:val="007771D6"/>
    <w:rsid w:val="00827301"/>
    <w:rsid w:val="00840732"/>
    <w:rsid w:val="0085455E"/>
    <w:rsid w:val="0086774B"/>
    <w:rsid w:val="008B491E"/>
    <w:rsid w:val="008D3BEF"/>
    <w:rsid w:val="0091425A"/>
    <w:rsid w:val="00926FB8"/>
    <w:rsid w:val="0098684F"/>
    <w:rsid w:val="00A10CC0"/>
    <w:rsid w:val="00AF3DD7"/>
    <w:rsid w:val="00B3665E"/>
    <w:rsid w:val="00BA3D78"/>
    <w:rsid w:val="00BB2B05"/>
    <w:rsid w:val="00BF2EAE"/>
    <w:rsid w:val="00CB4235"/>
    <w:rsid w:val="00EA05E3"/>
    <w:rsid w:val="00F132D7"/>
    <w:rsid w:val="00F410C2"/>
    <w:rsid w:val="00FB3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5D273"/>
  <w15:docId w15:val="{FD687FF8-903B-4895-A4C3-86E57F4E0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84F"/>
    <w:pPr>
      <w:ind w:left="720"/>
      <w:contextualSpacing/>
    </w:pPr>
  </w:style>
  <w:style w:type="paragraph" w:styleId="Header">
    <w:name w:val="header"/>
    <w:basedOn w:val="Normal"/>
    <w:link w:val="HeaderChar"/>
    <w:uiPriority w:val="99"/>
    <w:unhideWhenUsed/>
    <w:rsid w:val="009868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84F"/>
  </w:style>
  <w:style w:type="paragraph" w:styleId="Footer">
    <w:name w:val="footer"/>
    <w:basedOn w:val="Normal"/>
    <w:link w:val="FooterChar"/>
    <w:uiPriority w:val="99"/>
    <w:unhideWhenUsed/>
    <w:rsid w:val="00986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84F"/>
  </w:style>
  <w:style w:type="character" w:styleId="CommentReference">
    <w:name w:val="annotation reference"/>
    <w:basedOn w:val="DefaultParagraphFont"/>
    <w:uiPriority w:val="99"/>
    <w:semiHidden/>
    <w:unhideWhenUsed/>
    <w:rsid w:val="000F7E89"/>
    <w:rPr>
      <w:sz w:val="16"/>
      <w:szCs w:val="16"/>
    </w:rPr>
  </w:style>
  <w:style w:type="paragraph" w:styleId="CommentText">
    <w:name w:val="annotation text"/>
    <w:basedOn w:val="Normal"/>
    <w:link w:val="CommentTextChar"/>
    <w:uiPriority w:val="99"/>
    <w:semiHidden/>
    <w:unhideWhenUsed/>
    <w:rsid w:val="000F7E89"/>
    <w:pPr>
      <w:spacing w:line="240" w:lineRule="auto"/>
    </w:pPr>
    <w:rPr>
      <w:sz w:val="20"/>
      <w:szCs w:val="20"/>
    </w:rPr>
  </w:style>
  <w:style w:type="character" w:customStyle="1" w:styleId="CommentTextChar">
    <w:name w:val="Comment Text Char"/>
    <w:basedOn w:val="DefaultParagraphFont"/>
    <w:link w:val="CommentText"/>
    <w:uiPriority w:val="99"/>
    <w:semiHidden/>
    <w:rsid w:val="000F7E89"/>
    <w:rPr>
      <w:sz w:val="20"/>
      <w:szCs w:val="20"/>
    </w:rPr>
  </w:style>
  <w:style w:type="paragraph" w:styleId="CommentSubject">
    <w:name w:val="annotation subject"/>
    <w:basedOn w:val="CommentText"/>
    <w:next w:val="CommentText"/>
    <w:link w:val="CommentSubjectChar"/>
    <w:uiPriority w:val="99"/>
    <w:semiHidden/>
    <w:unhideWhenUsed/>
    <w:rsid w:val="000F7E89"/>
    <w:rPr>
      <w:b/>
      <w:bCs/>
    </w:rPr>
  </w:style>
  <w:style w:type="character" w:customStyle="1" w:styleId="CommentSubjectChar">
    <w:name w:val="Comment Subject Char"/>
    <w:basedOn w:val="CommentTextChar"/>
    <w:link w:val="CommentSubject"/>
    <w:uiPriority w:val="99"/>
    <w:semiHidden/>
    <w:rsid w:val="000F7E89"/>
    <w:rPr>
      <w:b/>
      <w:bCs/>
      <w:sz w:val="20"/>
      <w:szCs w:val="20"/>
    </w:rPr>
  </w:style>
  <w:style w:type="paragraph" w:styleId="BalloonText">
    <w:name w:val="Balloon Text"/>
    <w:basedOn w:val="Normal"/>
    <w:link w:val="BalloonTextChar"/>
    <w:uiPriority w:val="99"/>
    <w:semiHidden/>
    <w:unhideWhenUsed/>
    <w:rsid w:val="000F7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E89"/>
    <w:rPr>
      <w:rFonts w:ascii="Tahoma" w:hAnsi="Tahoma" w:cs="Tahoma"/>
      <w:sz w:val="16"/>
      <w:szCs w:val="16"/>
    </w:rPr>
  </w:style>
  <w:style w:type="character" w:styleId="Hyperlink">
    <w:name w:val="Hyperlink"/>
    <w:basedOn w:val="DefaultParagraphFont"/>
    <w:uiPriority w:val="99"/>
    <w:unhideWhenUsed/>
    <w:rsid w:val="00BA3D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hyperlink" Target="https://fairsharing.org" TargetMode="External"/><Relationship Id="rId10" Type="http://schemas.openxmlformats.org/officeDocument/2006/relationships/hyperlink" Target="https://biodiversitynext.org/" TargetMode="External"/><Relationship Id="rId4" Type="http://schemas.openxmlformats.org/officeDocument/2006/relationships/webSettings" Target="webSettings.xml"/><Relationship Id="rId9" Type="http://schemas.openxmlformats.org/officeDocument/2006/relationships/hyperlink" Target="http://bit.ly/sync_groups" TargetMode="External"/><Relationship Id="rId14" Type="http://schemas.openxmlformats.org/officeDocument/2006/relationships/hyperlink" Target="https://osf.io/j6p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5892</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MRAC - KMMA</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Casino</dc:creator>
  <cp:lastModifiedBy>Dimitris Koureas</cp:lastModifiedBy>
  <cp:revision>2</cp:revision>
  <dcterms:created xsi:type="dcterms:W3CDTF">2019-04-23T12:44:00Z</dcterms:created>
  <dcterms:modified xsi:type="dcterms:W3CDTF">2019-04-23T12:44:00Z</dcterms:modified>
</cp:coreProperties>
</file>